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080DD" w14:textId="67E27209" w:rsidR="00F95260" w:rsidRPr="004F7C50" w:rsidRDefault="00FE1BC7" w:rsidP="002A5658">
      <w:pPr>
        <w:pStyle w:val="Standard"/>
        <w:spacing w:after="240"/>
        <w:jc w:val="center"/>
        <w:rPr>
          <w:b/>
          <w:bCs/>
          <w:color w:val="28B2A2"/>
          <w:sz w:val="28"/>
          <w:szCs w:val="28"/>
        </w:rPr>
      </w:pPr>
      <w:r w:rsidRPr="004F7C50">
        <w:rPr>
          <w:b/>
          <w:color w:val="28B2A2"/>
          <w:sz w:val="28"/>
        </w:rPr>
        <w:t>Comité Ejecutivo</w:t>
      </w:r>
    </w:p>
    <w:p w14:paraId="31496DF9" w14:textId="2D206A80" w:rsidR="002A5658" w:rsidRPr="004F7C50" w:rsidRDefault="009D1613" w:rsidP="002A5658">
      <w:pPr>
        <w:pStyle w:val="Standard"/>
        <w:spacing w:after="240"/>
        <w:jc w:val="center"/>
        <w:rPr>
          <w:b/>
          <w:bCs/>
          <w:color w:val="28B2A2"/>
          <w:sz w:val="28"/>
          <w:szCs w:val="28"/>
        </w:rPr>
      </w:pPr>
      <w:r>
        <w:rPr>
          <w:b/>
          <w:color w:val="28B2A2"/>
          <w:sz w:val="28"/>
        </w:rPr>
        <w:t>Acta</w:t>
      </w:r>
    </w:p>
    <w:p w14:paraId="63791065" w14:textId="2348831F" w:rsidR="00B24BBC" w:rsidRPr="004F7C50" w:rsidRDefault="00D3177A" w:rsidP="002A5658">
      <w:pPr>
        <w:spacing w:after="240" w:line="240" w:lineRule="auto"/>
        <w:jc w:val="center"/>
        <w:rPr>
          <w:rFonts w:ascii="Calibri" w:hAnsi="Calibri" w:cs="Times New Roman"/>
          <w:b/>
        </w:rPr>
      </w:pPr>
      <w:bookmarkStart w:id="0" w:name="_Hlk112407879"/>
      <w:bookmarkStart w:id="1" w:name="_Hlk120110376"/>
      <w:r w:rsidRPr="004F7C50">
        <w:rPr>
          <w:rFonts w:ascii="Calibri" w:hAnsi="Calibri"/>
          <w:b/>
        </w:rPr>
        <w:t>Viernes, 03 de julio de 2026 (10:00 – 12:30 CEST)</w:t>
      </w:r>
    </w:p>
    <w:bookmarkEnd w:id="0"/>
    <w:p w14:paraId="5A5AA4A0" w14:textId="5289EAF7" w:rsidR="00A40096" w:rsidRPr="004F7C50" w:rsidRDefault="00712846" w:rsidP="002A5658">
      <w:pPr>
        <w:spacing w:after="240" w:line="240" w:lineRule="auto"/>
        <w:jc w:val="center"/>
        <w:rPr>
          <w:rFonts w:ascii="Calibri" w:hAnsi="Calibri" w:cs="Times New Roman"/>
          <w:b/>
        </w:rPr>
      </w:pPr>
      <w:r w:rsidRPr="004F7C50">
        <w:rPr>
          <w:rFonts w:ascii="Calibri" w:hAnsi="Calibri"/>
          <w:b/>
        </w:rPr>
        <w:t>Zoom</w:t>
      </w:r>
    </w:p>
    <w:bookmarkEnd w:id="1"/>
    <w:p w14:paraId="4167B081" w14:textId="34AC57D9" w:rsidR="00AE651A" w:rsidRPr="004F7C50" w:rsidRDefault="00C25E7C" w:rsidP="002A5658">
      <w:pPr>
        <w:spacing w:after="240" w:line="240" w:lineRule="auto"/>
        <w:jc w:val="center"/>
        <w:rPr>
          <w:rFonts w:ascii="Calibri" w:hAnsi="Calibri" w:cs="Times New Roman"/>
          <w:b/>
        </w:rPr>
      </w:pPr>
      <w:r w:rsidRPr="004F7C50">
        <w:rPr>
          <w:rFonts w:ascii="Calibri" w:hAnsi="Calibri"/>
          <w:b/>
        </w:rPr>
        <w:t>Interpretación en EN, ES, FR</w:t>
      </w:r>
    </w:p>
    <w:p w14:paraId="13B8A23B" w14:textId="77777777" w:rsidR="002F709F" w:rsidRPr="004F7C50" w:rsidRDefault="002F709F" w:rsidP="002A5658">
      <w:pPr>
        <w:spacing w:after="240" w:line="240" w:lineRule="auto"/>
        <w:jc w:val="center"/>
        <w:rPr>
          <w:rFonts w:ascii="Calibri" w:hAnsi="Calibri" w:cs="Times New Roman"/>
          <w:b/>
          <w:lang w:eastAsia="en-GB"/>
        </w:rPr>
      </w:pPr>
    </w:p>
    <w:p w14:paraId="5B606C70" w14:textId="00026ADA" w:rsidR="00F95260" w:rsidRPr="004F7C50" w:rsidRDefault="00F95260" w:rsidP="002A5658">
      <w:pPr>
        <w:pStyle w:val="Standard"/>
        <w:spacing w:after="240"/>
        <w:ind w:left="720"/>
        <w:jc w:val="both"/>
        <w:rPr>
          <w:b/>
          <w:bCs/>
          <w:color w:val="28B2A2"/>
          <w:sz w:val="24"/>
          <w:szCs w:val="24"/>
        </w:rPr>
      </w:pPr>
      <w:r w:rsidRPr="004F7C50">
        <w:rPr>
          <w:b/>
          <w:color w:val="28B2A2"/>
          <w:sz w:val="24"/>
        </w:rPr>
        <w:t>Bienvenida de la presidenta, Yobana Bermúdez</w:t>
      </w:r>
    </w:p>
    <w:p w14:paraId="32DB1D5A" w14:textId="39F496CE" w:rsidR="00E0422A" w:rsidRPr="004F7C50" w:rsidRDefault="00E0422A" w:rsidP="002A5658">
      <w:pPr>
        <w:pStyle w:val="Standard"/>
        <w:spacing w:after="240"/>
        <w:ind w:firstLine="720"/>
        <w:jc w:val="both"/>
        <w:rPr>
          <w:color w:val="auto"/>
          <w:sz w:val="24"/>
          <w:szCs w:val="24"/>
        </w:rPr>
      </w:pPr>
      <w:hyperlink r:id="rId11" w:history="1">
        <w:r w:rsidRPr="004F7C50">
          <w:rPr>
            <w:rStyle w:val="Hyperlink"/>
            <w:sz w:val="24"/>
          </w:rPr>
          <w:t>Presentación</w:t>
        </w:r>
      </w:hyperlink>
      <w:r w:rsidRPr="004F7C50">
        <w:rPr>
          <w:color w:val="auto"/>
          <w:sz w:val="24"/>
        </w:rPr>
        <w:t xml:space="preserve"> </w:t>
      </w:r>
    </w:p>
    <w:p w14:paraId="37E0960E" w14:textId="3B7A03AF" w:rsidR="006A3CDB" w:rsidRPr="004F7C50" w:rsidRDefault="000A10C7" w:rsidP="002A5658">
      <w:pPr>
        <w:pStyle w:val="Standard"/>
        <w:spacing w:after="240"/>
        <w:ind w:left="720"/>
        <w:jc w:val="both"/>
        <w:rPr>
          <w:bCs/>
          <w:color w:val="auto"/>
          <w:sz w:val="24"/>
          <w:szCs w:val="24"/>
        </w:rPr>
      </w:pPr>
      <w:r w:rsidRPr="004F7C50">
        <w:rPr>
          <w:b/>
          <w:color w:val="28B2A2"/>
          <w:sz w:val="24"/>
        </w:rPr>
        <w:t xml:space="preserve">Aprobación del orden del día y del acta de la última reunión (12.06.2026): </w:t>
      </w:r>
      <w:r w:rsidRPr="004F7C50">
        <w:rPr>
          <w:color w:val="auto"/>
          <w:sz w:val="24"/>
        </w:rPr>
        <w:t xml:space="preserve">aprobado. </w:t>
      </w:r>
    </w:p>
    <w:p w14:paraId="2BE4CA71" w14:textId="77777777" w:rsidR="00F375FC" w:rsidRPr="004F7C50" w:rsidRDefault="006A3CDB" w:rsidP="002A5658">
      <w:pPr>
        <w:pStyle w:val="Standard"/>
        <w:spacing w:after="240"/>
        <w:ind w:left="720"/>
        <w:jc w:val="both"/>
        <w:rPr>
          <w:b/>
          <w:bCs/>
          <w:color w:val="28B2A2"/>
          <w:sz w:val="24"/>
          <w:szCs w:val="24"/>
        </w:rPr>
      </w:pPr>
      <w:r w:rsidRPr="004F7C50">
        <w:rPr>
          <w:b/>
          <w:color w:val="28B2A2"/>
          <w:sz w:val="24"/>
        </w:rPr>
        <w:t xml:space="preserve">Puntos de acción: </w:t>
      </w:r>
    </w:p>
    <w:p w14:paraId="0B8FC591" w14:textId="7EFF287F" w:rsidR="00F80081" w:rsidRPr="004F7C50" w:rsidRDefault="0093436F" w:rsidP="00F80081">
      <w:pPr>
        <w:numPr>
          <w:ilvl w:val="0"/>
          <w:numId w:val="1"/>
        </w:numPr>
        <w:suppressAutoHyphens/>
        <w:autoSpaceDN w:val="0"/>
        <w:spacing w:line="240" w:lineRule="auto"/>
        <w:jc w:val="both"/>
        <w:rPr>
          <w:rFonts w:ascii="Calibri" w:eastAsia="SimSun" w:hAnsi="Calibri" w:cs="Times New Roman"/>
          <w:b/>
          <w:kern w:val="3"/>
          <w:sz w:val="24"/>
          <w:szCs w:val="24"/>
        </w:rPr>
      </w:pPr>
      <w:r w:rsidRPr="004F7C50">
        <w:rPr>
          <w:rFonts w:ascii="Calibri" w:hAnsi="Calibri"/>
          <w:b/>
          <w:sz w:val="24"/>
        </w:rPr>
        <w:t xml:space="preserve">Situación de los puntos de acción de la última reunión - información </w:t>
      </w:r>
    </w:p>
    <w:p w14:paraId="35E9A982" w14:textId="77777777" w:rsidR="00F80081" w:rsidRPr="004F7C50" w:rsidRDefault="00F80081" w:rsidP="00F80081">
      <w:pPr>
        <w:pStyle w:val="ListParagraph"/>
        <w:numPr>
          <w:ilvl w:val="0"/>
          <w:numId w:val="17"/>
        </w:numPr>
        <w:rPr>
          <w:rFonts w:ascii="Calibri" w:eastAsia="SimSun" w:hAnsi="Calibri" w:cs="Times New Roman"/>
          <w:bCs/>
          <w:kern w:val="3"/>
          <w:sz w:val="24"/>
          <w:szCs w:val="24"/>
          <w:u w:val="single"/>
        </w:rPr>
      </w:pPr>
      <w:r w:rsidRPr="004F7C50">
        <w:rPr>
          <w:rFonts w:ascii="Calibri" w:hAnsi="Calibri"/>
          <w:sz w:val="24"/>
          <w:u w:val="single"/>
        </w:rPr>
        <w:t>Ruegos y preguntas:</w:t>
      </w:r>
      <w:r w:rsidRPr="004F7C50">
        <w:rPr>
          <w:rFonts w:ascii="Calibri" w:hAnsi="Calibri"/>
          <w:sz w:val="24"/>
        </w:rPr>
        <w:t xml:space="preserve"> </w:t>
      </w:r>
    </w:p>
    <w:p w14:paraId="6018B50B" w14:textId="430460BB" w:rsidR="00F80081" w:rsidRPr="004F7C50" w:rsidRDefault="00F80081" w:rsidP="00F80081">
      <w:pPr>
        <w:pStyle w:val="ListParagraph"/>
        <w:numPr>
          <w:ilvl w:val="1"/>
          <w:numId w:val="17"/>
        </w:numPr>
        <w:jc w:val="both"/>
        <w:rPr>
          <w:rFonts w:ascii="Calibri" w:eastAsia="SimSun" w:hAnsi="Calibri" w:cs="Times New Roman"/>
          <w:kern w:val="3"/>
          <w:sz w:val="24"/>
          <w:szCs w:val="24"/>
        </w:rPr>
      </w:pPr>
      <w:r w:rsidRPr="004F7C50">
        <w:rPr>
          <w:rFonts w:ascii="Calibri" w:hAnsi="Calibri"/>
          <w:sz w:val="24"/>
        </w:rPr>
        <w:t xml:space="preserve">La secretaría enviará un procedimiento escrito para la aprobación del mandato para el Diálogo de implementación sobre la Política de acuicultura de la UE. </w:t>
      </w:r>
    </w:p>
    <w:p w14:paraId="5A98B31B" w14:textId="77777777" w:rsidR="00F80081" w:rsidRPr="004F7C50" w:rsidRDefault="00F80081" w:rsidP="00F80081">
      <w:pPr>
        <w:pStyle w:val="ListParagraph"/>
        <w:numPr>
          <w:ilvl w:val="1"/>
          <w:numId w:val="17"/>
        </w:numPr>
        <w:jc w:val="both"/>
        <w:rPr>
          <w:rFonts w:ascii="Calibri" w:eastAsia="SimSun" w:hAnsi="Calibri" w:cs="Times New Roman"/>
          <w:kern w:val="3"/>
          <w:sz w:val="24"/>
          <w:szCs w:val="24"/>
        </w:rPr>
      </w:pPr>
      <w:r w:rsidRPr="004F7C50">
        <w:rPr>
          <w:rFonts w:ascii="Calibri" w:hAnsi="Calibri"/>
          <w:sz w:val="24"/>
        </w:rPr>
        <w:t>Se responderá a la Asociación de Productores Pesqueros Polacos informando de que la posible revisión de los techos de reembolsos y dietas de viaje dependería de los desarrollos presupuestarios.</w:t>
      </w:r>
    </w:p>
    <w:p w14:paraId="5BE42628" w14:textId="738F3176" w:rsidR="00F80081" w:rsidRPr="004F7C50" w:rsidRDefault="00F80081" w:rsidP="00F80081">
      <w:pPr>
        <w:pStyle w:val="ListParagraph"/>
        <w:numPr>
          <w:ilvl w:val="1"/>
          <w:numId w:val="17"/>
        </w:numPr>
        <w:rPr>
          <w:rFonts w:ascii="Calibri" w:eastAsia="SimSun" w:hAnsi="Calibri" w:cs="Times New Roman"/>
          <w:kern w:val="3"/>
          <w:sz w:val="24"/>
          <w:szCs w:val="24"/>
        </w:rPr>
      </w:pPr>
      <w:r w:rsidRPr="004F7C50">
        <w:rPr>
          <w:rFonts w:ascii="Calibri" w:hAnsi="Calibri"/>
          <w:sz w:val="24"/>
        </w:rPr>
        <w:t xml:space="preserve">Los miembros interesados expresarán su disponibilidad para asistir a la Conferencia de Alto Nivel sobre las Islas y las Comunidades Costeras en representación del MAC </w:t>
      </w:r>
    </w:p>
    <w:p w14:paraId="2EE65884" w14:textId="7C59099A" w:rsidR="00F80081" w:rsidRPr="004F7C50" w:rsidRDefault="00F80081" w:rsidP="00F80081">
      <w:pPr>
        <w:pStyle w:val="ListParagraph"/>
        <w:numPr>
          <w:ilvl w:val="2"/>
          <w:numId w:val="17"/>
        </w:numPr>
        <w:suppressAutoHyphens/>
        <w:autoSpaceDN w:val="0"/>
        <w:spacing w:line="240" w:lineRule="auto"/>
        <w:jc w:val="both"/>
        <w:rPr>
          <w:rFonts w:ascii="Calibri" w:eastAsia="SimSun" w:hAnsi="Calibri" w:cs="Times New Roman"/>
          <w:b/>
          <w:kern w:val="3"/>
          <w:sz w:val="24"/>
          <w:szCs w:val="24"/>
        </w:rPr>
      </w:pPr>
      <w:r w:rsidRPr="004F7C50">
        <w:rPr>
          <w:rFonts w:ascii="Calibri" w:hAnsi="Calibri"/>
          <w:sz w:val="24"/>
        </w:rPr>
        <w:t xml:space="preserve">Se lanzó un procedimiento escrito para la aprobación del mandato para el Diálogo de implementación el 17 de junio de 2026. </w:t>
      </w:r>
    </w:p>
    <w:p w14:paraId="3605B2E6" w14:textId="03B997A3" w:rsidR="00F80081" w:rsidRPr="004F7C50" w:rsidRDefault="00F80081" w:rsidP="00F80081">
      <w:pPr>
        <w:pStyle w:val="ListParagraph"/>
        <w:numPr>
          <w:ilvl w:val="2"/>
          <w:numId w:val="17"/>
        </w:numPr>
        <w:rPr>
          <w:rFonts w:ascii="Calibri" w:eastAsia="SimSun" w:hAnsi="Calibri" w:cs="Times New Roman"/>
          <w:bCs/>
          <w:kern w:val="3"/>
          <w:sz w:val="24"/>
          <w:szCs w:val="24"/>
        </w:rPr>
      </w:pPr>
      <w:r w:rsidRPr="004F7C50">
        <w:rPr>
          <w:rFonts w:ascii="Calibri" w:hAnsi="Calibri"/>
          <w:sz w:val="24"/>
        </w:rPr>
        <w:t xml:space="preserve">Respuesta a la Asociación de Productores Pesqueros Polacos enviada por mensaje de correo electrónico el 15 de junio de 2026. </w:t>
      </w:r>
    </w:p>
    <w:p w14:paraId="74A62D25" w14:textId="6A1B06D0" w:rsidR="00F80081" w:rsidRPr="004F7C50" w:rsidRDefault="00F80081" w:rsidP="00F80081">
      <w:pPr>
        <w:pStyle w:val="ListParagraph"/>
        <w:numPr>
          <w:ilvl w:val="2"/>
          <w:numId w:val="17"/>
        </w:numPr>
        <w:rPr>
          <w:rFonts w:ascii="Calibri" w:eastAsia="SimSun" w:hAnsi="Calibri" w:cs="Times New Roman"/>
          <w:bCs/>
          <w:kern w:val="3"/>
          <w:sz w:val="24"/>
          <w:szCs w:val="24"/>
        </w:rPr>
      </w:pPr>
      <w:r w:rsidRPr="004F7C50">
        <w:rPr>
          <w:rFonts w:ascii="Calibri" w:hAnsi="Calibri"/>
          <w:sz w:val="24"/>
        </w:rPr>
        <w:t>Asistencia a la Conferencia de Alto Nivel por parte de Daniel Voces (Europêche) en representación del MAC confirmada el 15 de junio de 2026.</w:t>
      </w:r>
    </w:p>
    <w:p w14:paraId="198504CC" w14:textId="1705342C" w:rsidR="00F80081" w:rsidRPr="004F7C50" w:rsidRDefault="00F80081" w:rsidP="00F80081">
      <w:pPr>
        <w:pStyle w:val="Standard"/>
        <w:spacing w:after="240"/>
        <w:ind w:firstLine="720"/>
        <w:jc w:val="both"/>
        <w:rPr>
          <w:b/>
          <w:bCs/>
          <w:color w:val="28B2A2"/>
          <w:sz w:val="24"/>
          <w:szCs w:val="24"/>
        </w:rPr>
      </w:pPr>
      <w:r w:rsidRPr="004F7C50">
        <w:rPr>
          <w:b/>
          <w:color w:val="28B2A2"/>
          <w:sz w:val="24"/>
        </w:rPr>
        <w:t xml:space="preserve">Sostenibilidad </w:t>
      </w:r>
    </w:p>
    <w:p w14:paraId="7C32E4E7" w14:textId="1B6A08FD" w:rsidR="00F80081" w:rsidRPr="004F7C50" w:rsidRDefault="00F80081" w:rsidP="00F80081">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Presentación del «Manifiesto sobre sostenibilidad: una perspectiva sobre la industria del pescado y los productos del mar», por Katarina Sipic (Seafood Europe)</w:t>
      </w:r>
    </w:p>
    <w:p w14:paraId="1713C5D5" w14:textId="139C6EA4" w:rsidR="0018309B" w:rsidRPr="004F7C50" w:rsidRDefault="0018309B" w:rsidP="0018309B">
      <w:pPr>
        <w:rPr>
          <w:rFonts w:ascii="Calibri" w:eastAsia="SimSun" w:hAnsi="Calibri" w:cs="Times New Roman"/>
          <w:kern w:val="3"/>
          <w:sz w:val="24"/>
          <w:szCs w:val="24"/>
        </w:rPr>
      </w:pPr>
      <w:hyperlink r:id="rId12" w:history="1">
        <w:r w:rsidRPr="004F7C50">
          <w:rPr>
            <w:rStyle w:val="Hyperlink"/>
            <w:rFonts w:ascii="Calibri" w:hAnsi="Calibri"/>
            <w:sz w:val="24"/>
          </w:rPr>
          <w:t>Presentación</w:t>
        </w:r>
      </w:hyperlink>
    </w:p>
    <w:p w14:paraId="218B69DE" w14:textId="560BF5DB" w:rsidR="00692A96" w:rsidRPr="004F7C50" w:rsidRDefault="00F9794D" w:rsidP="00EF401B">
      <w:pPr>
        <w:jc w:val="both"/>
        <w:rPr>
          <w:rFonts w:ascii="Calibri" w:eastAsia="SimSun" w:hAnsi="Calibri" w:cs="Times New Roman"/>
          <w:kern w:val="3"/>
          <w:sz w:val="24"/>
          <w:szCs w:val="24"/>
        </w:rPr>
      </w:pPr>
      <w:r w:rsidRPr="004F7C50">
        <w:rPr>
          <w:rFonts w:ascii="Calibri" w:hAnsi="Calibri"/>
          <w:sz w:val="24"/>
          <w:u w:val="single"/>
        </w:rPr>
        <w:lastRenderedPageBreak/>
        <w:t>Katarina Sipic (Seafood Europe)</w:t>
      </w:r>
      <w:r w:rsidRPr="004F7C50">
        <w:rPr>
          <w:rFonts w:ascii="Calibri" w:hAnsi="Calibri"/>
          <w:sz w:val="24"/>
        </w:rPr>
        <w:t xml:space="preserve"> recordó que, en 2020, la Comisión Europea respaldó una iniciativa de las partes interesadas sobre un Código de conducta para unas prácticas empresariales y de comercialización alimentarias responsables. Su organización participó en el proceso y firmó el Código de conducta. La Srta. Sipic explicó que las obligaciones conforme al Código de conducta se aplicaban principalmente a empresas, mientras que se esperaba que las asociaciones de partes interesadas asuman una función de coordinación y difusión. El objetivo de Seafood Europe era abordar la sostenibilidad de forma holística. Aunque, previamente, la legislación se centraba en aspectos medioambientales, la legislación cubría cada vez más las dimensiones sociales. Por lo tanto, el manifiesto estaba destinado a cubrir todas las dimensiones de la sostenibilidad en toda la cadena de suministro de la pesca y la acuicultura, incluso sobre los derechos humanos. El documento contaba con la experiencia de las asociaciones y empresas nacionales, pero también de expertos de la FAO. </w:t>
      </w:r>
    </w:p>
    <w:p w14:paraId="3376A335" w14:textId="448B4398" w:rsidR="00F9794D" w:rsidRPr="004F7C50" w:rsidRDefault="00692A96" w:rsidP="00692A96">
      <w:pPr>
        <w:jc w:val="both"/>
        <w:rPr>
          <w:rFonts w:ascii="Calibri" w:eastAsia="SimSun" w:hAnsi="Calibri" w:cs="Times New Roman"/>
          <w:kern w:val="3"/>
          <w:sz w:val="24"/>
          <w:szCs w:val="24"/>
        </w:rPr>
      </w:pPr>
      <w:r w:rsidRPr="004F7C50">
        <w:rPr>
          <w:rFonts w:ascii="Calibri" w:hAnsi="Calibri"/>
          <w:sz w:val="24"/>
        </w:rPr>
        <w:t xml:space="preserve">La Srta. Sipic explicó que el manifiesto se estructuraba en seis capítulos. El capítulo 1 se centraba en la función de los productos del mar en la nutrición y la salud y destacaba las sólidas evidencias de sus beneficios y el compromiso de la industria con la innovación. El capítulo 2 abordaba la pesca responsable y la salud de los océanos, lo que incluía la gestión basada en la ciencia, la transparencia y la cooperación internacional. El capítulo 3 cubre la acuicultura sostenible, con énfasis en la innovación, el equilibrio medioambiental y las prácticas responsables. El capítulo 4 se centra en la fabricación y la transformación, más particularmente, en reducir la emisión de gases de efecto invernadero y mejorar la eficiencia de los recursos.  El capítulo 5 trata los derechos humanos y el desarrollo de la comunidad, incluida la diligencia debida y la lucha contra la pesca INDNR. El capítulo 6 aborda la comunicación responsable y establece principios para garantizar la transparencia y la credibilidad. </w:t>
      </w:r>
    </w:p>
    <w:p w14:paraId="72679AD0" w14:textId="2DBCCE2C" w:rsidR="00692A96" w:rsidRPr="004F7C50" w:rsidRDefault="00692A96" w:rsidP="00692A96">
      <w:pPr>
        <w:jc w:val="both"/>
        <w:rPr>
          <w:rFonts w:ascii="Calibri" w:eastAsia="SimSun" w:hAnsi="Calibri" w:cs="Times New Roman"/>
          <w:kern w:val="3"/>
          <w:sz w:val="24"/>
          <w:szCs w:val="24"/>
        </w:rPr>
      </w:pPr>
      <w:r w:rsidRPr="004F7C50">
        <w:rPr>
          <w:rFonts w:ascii="Calibri" w:hAnsi="Calibri"/>
          <w:sz w:val="24"/>
        </w:rPr>
        <w:t xml:space="preserve">La Srta. Sipic puso de relieve el compromiso del sector con la pesca y la acuicultura responsables, la contribución a un sistema alimentario resiliente, la promoción de una conducta ética en toda la cadena de valor y la importancia de la comunicación clara y fiable. También señaló a la atención la función de la pesca y la acuicultura en la mitigación del cambio climático. </w:t>
      </w:r>
    </w:p>
    <w:p w14:paraId="05AFEA1C" w14:textId="46015A89" w:rsidR="00692A96" w:rsidRPr="004F7C50" w:rsidRDefault="00692A96" w:rsidP="00692A96">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Intercambio de opiniones</w:t>
      </w:r>
    </w:p>
    <w:p w14:paraId="3C1AF720" w14:textId="3E40CD4F" w:rsidR="00692A96" w:rsidRPr="004F7C50" w:rsidRDefault="00692A96" w:rsidP="00692A96">
      <w:pPr>
        <w:rPr>
          <w:rFonts w:ascii="Calibri" w:eastAsia="SimSun" w:hAnsi="Calibri" w:cs="Times New Roman"/>
          <w:kern w:val="3"/>
          <w:sz w:val="24"/>
          <w:szCs w:val="24"/>
        </w:rPr>
      </w:pPr>
      <w:r w:rsidRPr="004F7C50">
        <w:rPr>
          <w:rFonts w:ascii="Calibri" w:hAnsi="Calibri"/>
          <w:sz w:val="24"/>
        </w:rPr>
        <w:t xml:space="preserve">La </w:t>
      </w:r>
      <w:r w:rsidRPr="004F7C50">
        <w:rPr>
          <w:rFonts w:ascii="Calibri" w:hAnsi="Calibri"/>
          <w:sz w:val="24"/>
          <w:u w:val="single"/>
        </w:rPr>
        <w:t>presidenta</w:t>
      </w:r>
      <w:r w:rsidRPr="004F7C50">
        <w:rPr>
          <w:rFonts w:ascii="Calibri" w:hAnsi="Calibri"/>
          <w:sz w:val="24"/>
        </w:rPr>
        <w:t xml:space="preserve"> felicitó a la Srta. Sipic y a Seafood Europe por un documento tan completo. </w:t>
      </w:r>
    </w:p>
    <w:p w14:paraId="06C7E50B" w14:textId="67D4D30F" w:rsidR="00692A96" w:rsidRPr="004F7C50" w:rsidRDefault="009842F9" w:rsidP="00EF401B">
      <w:pPr>
        <w:jc w:val="both"/>
        <w:rPr>
          <w:rFonts w:ascii="Calibri" w:eastAsia="SimSun" w:hAnsi="Calibri" w:cs="Times New Roman"/>
          <w:kern w:val="3"/>
          <w:sz w:val="24"/>
          <w:szCs w:val="24"/>
        </w:rPr>
      </w:pPr>
      <w:r w:rsidRPr="004F7C50">
        <w:rPr>
          <w:rFonts w:ascii="Calibri" w:hAnsi="Calibri"/>
          <w:sz w:val="24"/>
          <w:u w:val="single"/>
        </w:rPr>
        <w:t>Daniel Voces (Europêche)</w:t>
      </w:r>
      <w:r w:rsidRPr="004F7C50">
        <w:rPr>
          <w:rFonts w:ascii="Calibri" w:hAnsi="Calibri"/>
          <w:sz w:val="24"/>
        </w:rPr>
        <w:t xml:space="preserve"> acogió con beneplácito la iniciativa y felicitó a Seafood Europe por la increíble labor llevada a cabo. El Sr. Voces recordó que, en la conferencia del 10.º aniversario, el director general adjunto de la FAO destacó que la narrativa sobre la sostenibilidad del sector cada vez estaba más determinada por gente ajena al sector. Expresó la disponibilidad de Europêche para colaborar sobre la comunicación de sostenibilidad. Solicitó más información sobre los próximos pasos planeados, como los relativos al posible Plan de acción para los alimentos azules en el marco de la Visión para la Pesca y la Acuicultura para 2040. </w:t>
      </w:r>
    </w:p>
    <w:p w14:paraId="32CCCC27" w14:textId="7D009A8B" w:rsidR="00580418" w:rsidRPr="004F7C50" w:rsidRDefault="009842F9" w:rsidP="00EF401B">
      <w:pPr>
        <w:jc w:val="both"/>
        <w:rPr>
          <w:rFonts w:ascii="Calibri" w:eastAsia="SimSun" w:hAnsi="Calibri" w:cs="Times New Roman"/>
          <w:kern w:val="3"/>
          <w:sz w:val="24"/>
          <w:szCs w:val="24"/>
        </w:rPr>
      </w:pPr>
      <w:r w:rsidRPr="004F7C50">
        <w:rPr>
          <w:rFonts w:ascii="Calibri" w:hAnsi="Calibri"/>
          <w:sz w:val="24"/>
          <w:u w:val="single"/>
        </w:rPr>
        <w:lastRenderedPageBreak/>
        <w:t>Katarina Sipic (Seafood Europe)</w:t>
      </w:r>
      <w:r w:rsidRPr="004F7C50">
        <w:rPr>
          <w:rFonts w:ascii="Calibri" w:hAnsi="Calibri"/>
          <w:sz w:val="24"/>
        </w:rPr>
        <w:t xml:space="preserve"> dio las gracias al Sr. Voces por su contribución. La Srta. Sipic explicó que las medidas iniciales se centraban en la difusión del manifiesto, como en las redes sociales. Subrayó la importancia de cooperar con los socios, como Europêche y FEAP, en capítulos específicos. Recordó que la EU Seafood Alliance ha estado instando los últimos dos años a que se cree un Plan de acción sobre los alimentos azules. El manifiesto formaría parte de un marco más amplio de colaboración. Expresó esperanza de que, mediante las iniciativas colectivas, sería posible enviar un mensaje a DG MARE para que hubiera un mayor reconocimiento y más medidas para los productos de pesca y acuicultura. </w:t>
      </w:r>
    </w:p>
    <w:p w14:paraId="179D2EDF" w14:textId="703E7B7E" w:rsidR="00580418" w:rsidRPr="004F7C50" w:rsidRDefault="00580418" w:rsidP="00580418">
      <w:pPr>
        <w:jc w:val="both"/>
        <w:rPr>
          <w:rFonts w:ascii="Calibri" w:eastAsia="SimSun" w:hAnsi="Calibri" w:cs="Times New Roman"/>
          <w:kern w:val="3"/>
          <w:sz w:val="24"/>
          <w:szCs w:val="24"/>
        </w:rPr>
      </w:pPr>
      <w:r w:rsidRPr="004F7C50">
        <w:rPr>
          <w:rFonts w:ascii="Calibri" w:hAnsi="Calibri"/>
          <w:sz w:val="24"/>
          <w:u w:val="single"/>
        </w:rPr>
        <w:t>Javier Ojeda (FEAP)</w:t>
      </w:r>
      <w:r w:rsidRPr="004F7C50">
        <w:rPr>
          <w:rFonts w:ascii="Calibri" w:hAnsi="Calibri"/>
          <w:sz w:val="24"/>
        </w:rPr>
        <w:t xml:space="preserve"> también felicitó Seafood Europe por la iniciativa y la calidad del trabajo. El Sr. Ojeda destacó la complejidad de la comunicación sobre sostenibilidad. Mencionó que el cambio del nombre de la asociación de «AIPE-CEP» a «Seafood Europe» era un buen ejemplo de una comunicación clara. </w:t>
      </w:r>
    </w:p>
    <w:p w14:paraId="041BEDAB" w14:textId="3EC53E1D" w:rsidR="00580418" w:rsidRPr="004F7C50" w:rsidRDefault="00580418" w:rsidP="00580418">
      <w:pPr>
        <w:pStyle w:val="Standard"/>
        <w:spacing w:after="240"/>
        <w:ind w:firstLine="720"/>
        <w:jc w:val="both"/>
        <w:rPr>
          <w:b/>
          <w:bCs/>
          <w:color w:val="28B2A2"/>
          <w:sz w:val="24"/>
          <w:szCs w:val="24"/>
        </w:rPr>
      </w:pPr>
      <w:r w:rsidRPr="004F7C50">
        <w:rPr>
          <w:b/>
          <w:color w:val="28B2A2"/>
          <w:sz w:val="24"/>
        </w:rPr>
        <w:t xml:space="preserve">Programa de trabajo para el año 10 (2025-2026) </w:t>
      </w:r>
    </w:p>
    <w:p w14:paraId="3E7965A1" w14:textId="112E80EA" w:rsidR="00580418" w:rsidRPr="004F7C50" w:rsidRDefault="00580418" w:rsidP="00580418">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Novedades sobre la implementación de los entregables por Pedro Reis Santos, secretario general</w:t>
      </w:r>
    </w:p>
    <w:p w14:paraId="47A0CEEC" w14:textId="362DE7C4" w:rsidR="00580418" w:rsidRPr="004F7C50" w:rsidRDefault="00580418" w:rsidP="00EF401B">
      <w:pPr>
        <w:jc w:val="both"/>
        <w:rPr>
          <w:rFonts w:ascii="Calibri" w:eastAsia="SimSun" w:hAnsi="Calibri" w:cs="Times New Roman"/>
          <w:kern w:val="3"/>
          <w:sz w:val="24"/>
          <w:szCs w:val="24"/>
        </w:rPr>
      </w:pPr>
      <w:r w:rsidRPr="004F7C50">
        <w:rPr>
          <w:rFonts w:ascii="Calibri" w:hAnsi="Calibri"/>
          <w:sz w:val="24"/>
        </w:rPr>
        <w:t xml:space="preserve">El </w:t>
      </w:r>
      <w:r w:rsidRPr="004F7C50">
        <w:rPr>
          <w:rFonts w:ascii="Calibri" w:hAnsi="Calibri"/>
          <w:sz w:val="24"/>
          <w:u w:val="single"/>
        </w:rPr>
        <w:t>secretario general</w:t>
      </w:r>
      <w:r w:rsidRPr="004F7C50">
        <w:rPr>
          <w:rFonts w:ascii="Calibri" w:hAnsi="Calibri"/>
          <w:sz w:val="24"/>
        </w:rPr>
        <w:t xml:space="preserve"> hizo una descripción general de la implementación del Programa de trabajo para el año 10 (2026-2026), que se centra especialmente en los compromisos contraídos. El secretario general recordó que, de conformidad con las directrices financieras aplicables, para recibir la concesión operativa completa ofrecida por DG MARE se deben lograr al menos el 50 % de los compromisos. El secretario general procedió a hacer una descripción detallada de la implementación de las recomendaciones planeadas para el décimo año operativo:</w:t>
      </w:r>
    </w:p>
    <w:p w14:paraId="6A1BB6D1" w14:textId="318A948A" w:rsidR="00580418" w:rsidRPr="004F7C50" w:rsidRDefault="003C7328" w:rsidP="00580418">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Estrategia para la Acción de Pesca Externa de la UE (cadenas de valor y comercio sostenibles, lucha contra la pesca INDNR, dimensión de mercado de los AAPS): El dictamen sobre la «Estrategia para la Acción de Pesca Externa de la UE se adoptó el 17 de noviembre de 2025.</w:t>
      </w:r>
    </w:p>
    <w:p w14:paraId="31914AC8" w14:textId="77777777" w:rsidR="003C7328" w:rsidRPr="004F7C50" w:rsidRDefault="003C7328" w:rsidP="003C7328">
      <w:pPr>
        <w:pStyle w:val="ListParagraph"/>
        <w:jc w:val="both"/>
        <w:rPr>
          <w:rFonts w:ascii="Calibri" w:eastAsia="SimSun" w:hAnsi="Calibri" w:cs="Times New Roman"/>
          <w:kern w:val="3"/>
          <w:sz w:val="24"/>
          <w:szCs w:val="24"/>
          <w:lang w:eastAsia="en-GB"/>
        </w:rPr>
      </w:pPr>
    </w:p>
    <w:p w14:paraId="10572E53" w14:textId="521B5490" w:rsidR="003C7328" w:rsidRPr="004F7C50" w:rsidRDefault="003C7328" w:rsidP="00580418">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Informe económico anual sobre la flota pesquera de la UE de 2026 (Términos de referencia): El dictamen sobre el «Informe económico anual sobre la flota pesquera de la UE de 2026 del CCTEP» se adoptó el 5 de febrero de 2026.</w:t>
      </w:r>
    </w:p>
    <w:p w14:paraId="11ACF760" w14:textId="77777777" w:rsidR="003C7328" w:rsidRPr="004F7C50" w:rsidRDefault="003C7328" w:rsidP="003C7328">
      <w:pPr>
        <w:pStyle w:val="ListParagraph"/>
        <w:rPr>
          <w:rFonts w:ascii="Calibri" w:eastAsia="SimSun" w:hAnsi="Calibri" w:cs="Times New Roman"/>
          <w:kern w:val="3"/>
          <w:sz w:val="24"/>
          <w:szCs w:val="24"/>
          <w:lang w:eastAsia="en-GB"/>
        </w:rPr>
      </w:pPr>
    </w:p>
    <w:p w14:paraId="17AEE5F1" w14:textId="35EC8806" w:rsidR="003C7328" w:rsidRPr="004F7C50" w:rsidRDefault="003C7328"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Aspectos relacionados con el mercado del nuevo Reglamento de Control de la Pesca (trazabilidad, marcado de los lotes, certificados de captura): El dictamen sobre la «Competitividad del mercado de la UE de los productos de pesca y acuicultura: próximos estudios sobre el Reglamento de Control de la Pesca» se adoptó el 26 de marzo de 2026. El dictamen sobre la «Estabilización operativa y armonización estratégica de CATCH» seguía en curso. </w:t>
      </w:r>
    </w:p>
    <w:p w14:paraId="34EC3332" w14:textId="77777777" w:rsidR="003C7328" w:rsidRPr="004F7C50" w:rsidRDefault="003C7328" w:rsidP="003C7328">
      <w:pPr>
        <w:pStyle w:val="ListParagraph"/>
        <w:rPr>
          <w:rFonts w:ascii="Calibri" w:eastAsia="SimSun" w:hAnsi="Calibri" w:cs="Times New Roman"/>
          <w:kern w:val="3"/>
          <w:sz w:val="24"/>
          <w:szCs w:val="24"/>
          <w:lang w:eastAsia="en-GB"/>
        </w:rPr>
      </w:pPr>
    </w:p>
    <w:p w14:paraId="51712754" w14:textId="5C791AA8" w:rsidR="003C7328" w:rsidRPr="004F7C50" w:rsidRDefault="003C7328"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Programa de trabajo de EUMOFA, incluidas las sugerencias de casos prácticos y charlas: Aún estaba pendiente la adopción del dictamen. La consideración del texto estaba planeada para la reunión de septiembre de 2026 del grupo de trabajo 1. </w:t>
      </w:r>
    </w:p>
    <w:p w14:paraId="26A9C8E7" w14:textId="77777777" w:rsidR="003C7328" w:rsidRPr="004F7C50" w:rsidRDefault="003C7328" w:rsidP="003C7328">
      <w:pPr>
        <w:pStyle w:val="ListParagraph"/>
        <w:rPr>
          <w:rFonts w:ascii="Calibri" w:eastAsia="SimSun" w:hAnsi="Calibri" w:cs="Times New Roman"/>
          <w:kern w:val="3"/>
          <w:sz w:val="24"/>
          <w:szCs w:val="24"/>
          <w:lang w:eastAsia="en-GB"/>
        </w:rPr>
      </w:pPr>
    </w:p>
    <w:p w14:paraId="17844899" w14:textId="6922F7FB" w:rsidR="003C7328" w:rsidRPr="004F7C50" w:rsidRDefault="003C7328"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Comité de Pesca de la FAO (mandato de la UE): Aún estaba pendiente la adopción del dictamen. Pronto se lanzaría un procedimiento escrito en el marco del grupo de trabajo 2. </w:t>
      </w:r>
    </w:p>
    <w:p w14:paraId="2D082C83" w14:textId="77777777" w:rsidR="0091020F" w:rsidRPr="004F7C50" w:rsidRDefault="0091020F" w:rsidP="0091020F">
      <w:pPr>
        <w:pStyle w:val="ListParagraph"/>
        <w:rPr>
          <w:rFonts w:ascii="Calibri" w:eastAsia="SimSun" w:hAnsi="Calibri" w:cs="Times New Roman"/>
          <w:kern w:val="3"/>
          <w:sz w:val="24"/>
          <w:szCs w:val="24"/>
          <w:lang w:eastAsia="en-GB"/>
        </w:rPr>
      </w:pPr>
    </w:p>
    <w:p w14:paraId="25B85E58" w14:textId="2FD0E720" w:rsidR="0091020F" w:rsidRPr="004F7C50" w:rsidRDefault="0091020F"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Informe de la Comisión sobre la evaluación del Reglamento de la Política Pesquera Común, incluido el Reglamento de la Organización Común de Mercados: Aún estaba pendiente la adopción del dictamen. El grupo de trabajo 1 decidió esperar por una decisión de la Comisión Europea sobre una posible revisión legislativa. </w:t>
      </w:r>
    </w:p>
    <w:p w14:paraId="563C0782" w14:textId="77777777" w:rsidR="0091020F" w:rsidRPr="004F7C50" w:rsidRDefault="0091020F" w:rsidP="0091020F">
      <w:pPr>
        <w:pStyle w:val="ListParagraph"/>
        <w:rPr>
          <w:rFonts w:ascii="Calibri" w:eastAsia="SimSun" w:hAnsi="Calibri" w:cs="Times New Roman"/>
          <w:kern w:val="3"/>
          <w:sz w:val="24"/>
          <w:szCs w:val="24"/>
          <w:lang w:eastAsia="en-GB"/>
        </w:rPr>
      </w:pPr>
    </w:p>
    <w:p w14:paraId="0F4B8D38" w14:textId="0E0598EE" w:rsidR="0091020F" w:rsidRPr="004F7C50" w:rsidRDefault="0091020F"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Competitividad (simplificación y reducción de la carga administrativa): El dictamen sobre «Competitividad del mercado de la UE de los productos de pesca y acuicultura: simplificación y reducción de la carga administrativa» se adoptó el 24 de marzo de 2026.</w:t>
      </w:r>
    </w:p>
    <w:p w14:paraId="4C7F72DA" w14:textId="77777777" w:rsidR="0091020F" w:rsidRPr="004F7C50" w:rsidRDefault="0091020F" w:rsidP="0091020F">
      <w:pPr>
        <w:pStyle w:val="ListParagraph"/>
        <w:rPr>
          <w:rFonts w:ascii="Calibri" w:eastAsia="SimSun" w:hAnsi="Calibri" w:cs="Times New Roman"/>
          <w:kern w:val="3"/>
          <w:sz w:val="24"/>
          <w:szCs w:val="24"/>
          <w:lang w:eastAsia="en-GB"/>
        </w:rPr>
      </w:pPr>
    </w:p>
    <w:p w14:paraId="33AE9B10" w14:textId="0D6AE35D" w:rsidR="0091020F" w:rsidRPr="004F7C50" w:rsidRDefault="0091020F"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Lucha contra la pesca ilegal, no declarada y no reglamentada (INDNR) y los trabajos forzados, diligencia debida: Aún estaba pendiente la adopción del dictamen. Había un procedimiento en curso para la consideración del borrador de dictamen sobre los riesgos de la pesca global del calamar. </w:t>
      </w:r>
    </w:p>
    <w:p w14:paraId="33637C02" w14:textId="77777777" w:rsidR="0091020F" w:rsidRPr="004F7C50" w:rsidRDefault="0091020F" w:rsidP="0091020F">
      <w:pPr>
        <w:pStyle w:val="ListParagraph"/>
        <w:rPr>
          <w:rFonts w:ascii="Calibri" w:eastAsia="SimSun" w:hAnsi="Calibri" w:cs="Times New Roman"/>
          <w:kern w:val="3"/>
          <w:sz w:val="24"/>
          <w:szCs w:val="24"/>
          <w:lang w:eastAsia="en-GB"/>
        </w:rPr>
      </w:pPr>
    </w:p>
    <w:p w14:paraId="7FB599F9" w14:textId="22F8420E" w:rsidR="0091020F" w:rsidRPr="004F7C50" w:rsidRDefault="0091020F" w:rsidP="00EF401B">
      <w:pPr>
        <w:pStyle w:val="ListParagraph"/>
        <w:numPr>
          <w:ilvl w:val="0"/>
          <w:numId w:val="17"/>
        </w:numPr>
        <w:jc w:val="both"/>
        <w:rPr>
          <w:rFonts w:ascii="Calibri" w:eastAsia="SimSun" w:hAnsi="Calibri" w:cs="Times New Roman"/>
          <w:kern w:val="3"/>
          <w:sz w:val="24"/>
          <w:szCs w:val="24"/>
        </w:rPr>
      </w:pPr>
      <w:r w:rsidRPr="004F7C50">
        <w:rPr>
          <w:rFonts w:ascii="Calibri" w:hAnsi="Calibri"/>
          <w:sz w:val="24"/>
        </w:rPr>
        <w:t xml:space="preserve">Comercio (p. ej., tratados de libre comercio, contingentes arancelarios autónomos, sistema generalizado de preferencias): El dictamen sobre la «Armonización de los requisitos de importación relativos al bienestar animal para lograr la igualdad de condiciones» se adoptó conjuntamente con el Consejo Consultivo de Acuicultura en junio de 2026. El dictamen sobre el «Acuerdo de SPS entre la UE y el RU» se adoptó el 5 de febrero de 2026 y el 24 de marzo de 2026. Se había planeado un procedimiento en el marco del grupo de trabajo 2 para la consideración del borrador de dictamen sobre el acuerdo de libre comercio entre la UE y México. </w:t>
      </w:r>
    </w:p>
    <w:p w14:paraId="74E0EA9A" w14:textId="73E0C73F" w:rsidR="0091020F" w:rsidRPr="004F7C50" w:rsidRDefault="0091020F" w:rsidP="0091020F">
      <w:pPr>
        <w:jc w:val="both"/>
        <w:rPr>
          <w:rFonts w:ascii="Calibri" w:eastAsia="SimSun" w:hAnsi="Calibri" w:cs="Times New Roman"/>
          <w:kern w:val="3"/>
          <w:sz w:val="24"/>
          <w:szCs w:val="24"/>
        </w:rPr>
      </w:pPr>
      <w:r w:rsidRPr="004F7C50">
        <w:rPr>
          <w:rFonts w:ascii="Calibri" w:hAnsi="Calibri"/>
          <w:sz w:val="24"/>
        </w:rPr>
        <w:t xml:space="preserve">El secretario general hizo hincapié en que la implementación del programa de trabajo estaba progresando de forma satisfactoria y que el MAC seguía a buen ritmo para lograr los compromisos contraídos. </w:t>
      </w:r>
    </w:p>
    <w:p w14:paraId="15131200" w14:textId="10241F31" w:rsidR="00962647" w:rsidRPr="004F7C50" w:rsidRDefault="006C1903" w:rsidP="00962647">
      <w:pPr>
        <w:jc w:val="both"/>
        <w:rPr>
          <w:rFonts w:ascii="Calibri" w:eastAsia="SimSun" w:hAnsi="Calibri" w:cs="Times New Roman"/>
          <w:kern w:val="3"/>
          <w:sz w:val="24"/>
          <w:szCs w:val="24"/>
        </w:rPr>
      </w:pPr>
      <w:r w:rsidRPr="004F7C50">
        <w:rPr>
          <w:rFonts w:ascii="Calibri" w:hAnsi="Calibri"/>
          <w:sz w:val="24"/>
        </w:rPr>
        <w:t xml:space="preserve">La </w:t>
      </w:r>
      <w:r w:rsidRPr="004F7C50">
        <w:rPr>
          <w:rFonts w:ascii="Calibri" w:hAnsi="Calibri"/>
          <w:sz w:val="24"/>
          <w:u w:val="single"/>
        </w:rPr>
        <w:t>presidenta</w:t>
      </w:r>
      <w:r w:rsidRPr="004F7C50">
        <w:rPr>
          <w:rFonts w:ascii="Calibri" w:hAnsi="Calibri"/>
          <w:sz w:val="24"/>
        </w:rPr>
        <w:t xml:space="preserve"> felicitó al secretario general por el progreso y por garantizar la preparación e implementación oportunas de los entregables del programa de trabajo.</w:t>
      </w:r>
    </w:p>
    <w:p w14:paraId="17A65921" w14:textId="3AB09075" w:rsidR="00962647" w:rsidRPr="004F7C50" w:rsidRDefault="00962647" w:rsidP="00962647">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Novedades sobre la implementación del presupuesto por Dawlat Bik, director financiero</w:t>
      </w:r>
    </w:p>
    <w:p w14:paraId="3E45CD31" w14:textId="7B8578D7" w:rsidR="00962647" w:rsidRPr="004F7C50" w:rsidRDefault="00117C99" w:rsidP="00117C99">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director financiero</w:t>
      </w:r>
      <w:r w:rsidRPr="004F7C50">
        <w:rPr>
          <w:color w:val="auto"/>
          <w:sz w:val="24"/>
        </w:rPr>
        <w:t xml:space="preserve"> informó de las novedades sobre la implementación del presupuesto del décimo ejercicio financiero (2025-2026), y se centró en el periodo de octubre de 2025 a junio de 2026. El director financiera hizo una descripción general de los ingresos, presupuestados y reales, de la concesión operativa ofrecida por la Comisión Europea, las cuotas de membresía, las contribuciones financieras voluntarias de los Estados miembro y de otras fuentes, que representan una materialización del 82,83 % de los ingresos presupuestados. También hizo una descripción de los gastos materializados de las seis categorías </w:t>
      </w:r>
      <w:r w:rsidRPr="004F7C50">
        <w:rPr>
          <w:color w:val="auto"/>
          <w:sz w:val="24"/>
        </w:rPr>
        <w:lastRenderedPageBreak/>
        <w:t xml:space="preserve">presupuestarios y comparó el gasto presupuestado y el real. Para junio de 2026, aproximadamente el 76 % del presupuesto planeado se había materializado. </w:t>
      </w:r>
    </w:p>
    <w:p w14:paraId="4D786006" w14:textId="32CA9292" w:rsidR="00B34BE5" w:rsidRPr="004F7C50" w:rsidRDefault="00B34BE5" w:rsidP="00117C99">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secretario general</w:t>
      </w:r>
      <w:r w:rsidRPr="004F7C50">
        <w:rPr>
          <w:color w:val="auto"/>
          <w:sz w:val="24"/>
        </w:rPr>
        <w:t xml:space="preserve"> informó de que los gastos para el evento del 10.º aniversario no se habían tenido completamente en cuenta en la actualización. Dado que el evento se había organizado conjuntamente con el Consejo Consultivo de Acuicultura, aún tenían que determinarse algunos costes compartidos. </w:t>
      </w:r>
    </w:p>
    <w:p w14:paraId="2E91D77E" w14:textId="10E89FB3" w:rsidR="00962647" w:rsidRPr="004F7C50" w:rsidRDefault="00B34BE5" w:rsidP="00117C99">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director financiero</w:t>
      </w:r>
      <w:r w:rsidRPr="004F7C50">
        <w:rPr>
          <w:color w:val="auto"/>
          <w:sz w:val="24"/>
        </w:rPr>
        <w:t xml:space="preserve"> subrayó que, en general, la posición financiera del MAC seguía siendo sana, ya que se había acumulado una reserva durante los diez años de funcionamiento. Al mismo tiempo, el número cada vez mayor de miembros que asistían a las reuniones había aumentado la presión ejercida sobre el presupuesto, que requería algunos ajustes. </w:t>
      </w:r>
    </w:p>
    <w:p w14:paraId="1EFF357C" w14:textId="49E5E2AA" w:rsidR="0076260B" w:rsidRPr="004F7C50" w:rsidRDefault="00281AA4" w:rsidP="004F7C50">
      <w:pPr>
        <w:pStyle w:val="Standard"/>
        <w:spacing w:after="240"/>
        <w:ind w:firstLine="720"/>
        <w:jc w:val="both"/>
        <w:rPr>
          <w:b/>
          <w:bCs/>
          <w:color w:val="28B2A2"/>
          <w:sz w:val="24"/>
          <w:szCs w:val="24"/>
        </w:rPr>
      </w:pPr>
      <w:r w:rsidRPr="004F7C50">
        <w:rPr>
          <w:b/>
          <w:color w:val="28B2A2"/>
          <w:sz w:val="24"/>
        </w:rPr>
        <w:t>Cuotas de membresía</w:t>
      </w:r>
    </w:p>
    <w:p w14:paraId="3FB39D27" w14:textId="54203669" w:rsidR="0076260B" w:rsidRPr="004F7C50" w:rsidRDefault="0076260B" w:rsidP="0076260B">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 xml:space="preserve">Consideración de una actualización de las comisiones de membresía anuales para la participación en la Junta General y en los grupos de trabajo  </w:t>
      </w:r>
    </w:p>
    <w:p w14:paraId="5211B9C3" w14:textId="717FD817" w:rsidR="0076260B" w:rsidRPr="004F7C50" w:rsidRDefault="006D542F" w:rsidP="0018605B">
      <w:pPr>
        <w:pStyle w:val="Standard"/>
        <w:spacing w:after="240" w:line="276" w:lineRule="auto"/>
        <w:jc w:val="both"/>
        <w:rPr>
          <w:color w:val="auto"/>
          <w:sz w:val="24"/>
          <w:szCs w:val="24"/>
        </w:rPr>
      </w:pPr>
      <w:r w:rsidRPr="004F7C50">
        <w:rPr>
          <w:color w:val="auto"/>
          <w:sz w:val="24"/>
        </w:rPr>
        <w:t>El secretario general explicó que, si bien el MAC mantenía una reserva financiera sólida, la presión presupuestaria estaba aumentado debido al creciente número de miembros, lo que comportaba mayores costes por los reembolsos, el alquiler de espacios para las reuniones, el alquiler de equipo audiovisual y el cáterin. Durante el año operativo anterior, el MAC se enfrentó a un déficit. En el año operativo anterior, la tasa de ejecución rondaba el 98 %. Para el próximo año operativo, el MAC tendría que llevar a cabo una revisión de desempeño externa, tal y como exige el artículo 7a del Reglamento Delegado de la Comisión (UE) 2015/242, lo que implica un coste adicional de cerca de 15 000 EUR.</w:t>
      </w:r>
    </w:p>
    <w:p w14:paraId="60B830E6" w14:textId="30DC8283" w:rsidR="0076260B" w:rsidRPr="004F7C50" w:rsidRDefault="0076260B" w:rsidP="0018605B">
      <w:pPr>
        <w:pStyle w:val="Standard"/>
        <w:spacing w:after="240" w:line="276" w:lineRule="auto"/>
        <w:jc w:val="both"/>
        <w:rPr>
          <w:color w:val="auto"/>
          <w:sz w:val="24"/>
          <w:szCs w:val="24"/>
        </w:rPr>
      </w:pPr>
      <w:r w:rsidRPr="004F7C50">
        <w:rPr>
          <w:color w:val="auto"/>
          <w:sz w:val="24"/>
        </w:rPr>
        <w:t xml:space="preserve">El secretario general explicó que, desde que se había establecido el MAC hace diez años, la cuota anual de participación en la Junta General era de 200 EUR, la cuota por los grupos de trabajo era de 300 EUR y la cuota para el Comité Ejecutivo era de 400 EUR. Por lo tanto, la mayoría de los miembros pagaba una cuota anual de 500 EUR. El secretario general sugirió aumentar la cuota para la Junta General a 300 EUR y la cuota de los grupos de trabajo a 400 EUR, de conformidad con los niveles de inflación de Bélgica. </w:t>
      </w:r>
    </w:p>
    <w:p w14:paraId="1D862600" w14:textId="2ABFB412" w:rsidR="00600F16" w:rsidRPr="004F7C50" w:rsidRDefault="00600F16" w:rsidP="0018605B">
      <w:pPr>
        <w:pStyle w:val="Standard"/>
        <w:spacing w:after="240" w:line="276" w:lineRule="auto"/>
        <w:jc w:val="both"/>
        <w:rPr>
          <w:color w:val="auto"/>
          <w:sz w:val="24"/>
          <w:szCs w:val="24"/>
        </w:rPr>
      </w:pPr>
      <w:r w:rsidRPr="004F7C50">
        <w:rPr>
          <w:color w:val="auto"/>
          <w:sz w:val="24"/>
        </w:rPr>
        <w:t xml:space="preserve">El secretario general indicó que el aumento sugerido ayudaría a bordar la presión presupuestaria que existía. Los montos totales seguirían concordando con las prácticas de otros Consejos Consultivos. Recordó que DG MARE defendía unas cuotas de membresía bajas para facilitar la participación de organizaciones más pequeñas. </w:t>
      </w:r>
    </w:p>
    <w:p w14:paraId="7B93119A" w14:textId="5F54D870" w:rsidR="00600F16" w:rsidRPr="004F7C50" w:rsidRDefault="00E4546F" w:rsidP="0018605B">
      <w:pPr>
        <w:pStyle w:val="Standard"/>
        <w:spacing w:after="240" w:line="276" w:lineRule="auto"/>
        <w:jc w:val="both"/>
        <w:rPr>
          <w:color w:val="auto"/>
          <w:sz w:val="24"/>
          <w:szCs w:val="24"/>
        </w:rPr>
      </w:pPr>
      <w:r w:rsidRPr="004F7C50">
        <w:rPr>
          <w:color w:val="auto"/>
          <w:sz w:val="24"/>
          <w:u w:val="single"/>
        </w:rPr>
        <w:t>Javier Ojeda (FEAP)</w:t>
      </w:r>
      <w:r w:rsidRPr="004F7C50">
        <w:rPr>
          <w:color w:val="auto"/>
          <w:sz w:val="24"/>
        </w:rPr>
        <w:t xml:space="preserve"> hizo hincapié en que el MAC era una organización que funcionaba bien y que aportaba valor, por lo que la conversación sobre los ingresos se acogía con gusto. El Sr. Ojeda comentó que, por lo normal, en el caso de las organizaciones basados en membresías, el aumento de miembros era beneficioso para el presupuesto, pero en el caso de los Consejos Consultivos, tenía el efecto contrario. A su parecer, el MAC debía subrayar a DG MARE que el número cada vez </w:t>
      </w:r>
      <w:r w:rsidR="002319CD" w:rsidRPr="004F7C50">
        <w:rPr>
          <w:color w:val="auto"/>
          <w:sz w:val="24"/>
        </w:rPr>
        <w:t>mayor</w:t>
      </w:r>
      <w:r w:rsidRPr="004F7C50">
        <w:rPr>
          <w:color w:val="auto"/>
          <w:sz w:val="24"/>
        </w:rPr>
        <w:t xml:space="preserve"> de miembros estaba planteando dificultades </w:t>
      </w:r>
      <w:r w:rsidRPr="004F7C50">
        <w:rPr>
          <w:color w:val="auto"/>
          <w:sz w:val="24"/>
        </w:rPr>
        <w:lastRenderedPageBreak/>
        <w:t xml:space="preserve">financieras. Expresó su apoyo al aumento sugerido de las cuotas de membresía. Sugirió que, en la presión financiera continuaba, podría ser relevante revisar los techos de los reembolsos y las dietas de viaje. </w:t>
      </w:r>
    </w:p>
    <w:p w14:paraId="159D4A19" w14:textId="7C0A3852" w:rsidR="001566ED" w:rsidRPr="004F7C50" w:rsidRDefault="00E4546F" w:rsidP="0018605B">
      <w:pPr>
        <w:pStyle w:val="Standard"/>
        <w:spacing w:after="240" w:line="276" w:lineRule="auto"/>
        <w:jc w:val="both"/>
        <w:rPr>
          <w:color w:val="auto"/>
          <w:sz w:val="24"/>
          <w:szCs w:val="24"/>
        </w:rPr>
      </w:pPr>
      <w:r w:rsidRPr="004F7C50">
        <w:rPr>
          <w:color w:val="auto"/>
          <w:sz w:val="24"/>
          <w:u w:val="single"/>
        </w:rPr>
        <w:t>María Luisa Álvarez Blanco (FEDEPESCA)</w:t>
      </w:r>
      <w:r w:rsidRPr="004F7C50">
        <w:rPr>
          <w:color w:val="auto"/>
          <w:sz w:val="24"/>
        </w:rPr>
        <w:t xml:space="preserve"> informó de que no se oponía al aumento sugerido. La Srta. Álvarez se preguntaba por la posibilidad de establecer un aumento anual de las comisiones de membresía con arreglo a las tasas de inflación. Instó a reflexionar de forma más amplia sobre la composición del MAC. Según su perspectiva, había un riesgo cada vez mayor de desequilibrio en la composición de la membresía, ya que no había límite al número de organizaciones por sector representado, lo que podría comportar un desequilibrio en los puntos del orden del día programado y las intervenciones. Preguntó si se habían planteado reducciones de los costes.  </w:t>
      </w:r>
    </w:p>
    <w:p w14:paraId="5992DFDB" w14:textId="25C03AC0" w:rsidR="0033149D" w:rsidRPr="004F7C50" w:rsidRDefault="00E4546F" w:rsidP="0018605B">
      <w:pPr>
        <w:pStyle w:val="Standard"/>
        <w:spacing w:after="240" w:line="276" w:lineRule="auto"/>
        <w:jc w:val="both"/>
        <w:rPr>
          <w:color w:val="auto"/>
          <w:sz w:val="24"/>
          <w:szCs w:val="24"/>
        </w:rPr>
      </w:pPr>
      <w:r w:rsidRPr="004F7C50">
        <w:rPr>
          <w:color w:val="auto"/>
          <w:sz w:val="24"/>
          <w:u w:val="single"/>
        </w:rPr>
        <w:t>Daniel Voces (Europêche)</w:t>
      </w:r>
      <w:r w:rsidRPr="004F7C50">
        <w:rPr>
          <w:color w:val="auto"/>
          <w:sz w:val="24"/>
        </w:rPr>
        <w:t xml:space="preserve"> expresó su conformidad con las intervenciones previas. El Sr. Voces puso de relieve el excelente desempeño del MAC y de la secretaría. Mencionó que el Consejo Consultivo de Larga Distancia había propuesto recientemente aumentos similares a las cuotas de membresía. A su parecer, considerando el aumento de los costes —en especial los de viaje—, sugirió que un aumento era razonable. Pidió más información sobre otras fuentes de ingresos y sugirió celebrar intercambios con DG MARE para pedir un mayor nivel de apoyo financiero. </w:t>
      </w:r>
    </w:p>
    <w:p w14:paraId="4FCDD281" w14:textId="3B5BE628" w:rsidR="0033149D" w:rsidRPr="004F7C50" w:rsidRDefault="00E4546F" w:rsidP="0018605B">
      <w:pPr>
        <w:pStyle w:val="Standard"/>
        <w:spacing w:after="240" w:line="276" w:lineRule="auto"/>
        <w:jc w:val="both"/>
        <w:rPr>
          <w:color w:val="auto"/>
          <w:sz w:val="24"/>
          <w:szCs w:val="24"/>
        </w:rPr>
      </w:pPr>
      <w:r w:rsidRPr="004F7C50">
        <w:rPr>
          <w:color w:val="auto"/>
          <w:sz w:val="24"/>
          <w:u w:val="single"/>
        </w:rPr>
        <w:t>Anna Rockicka (</w:t>
      </w:r>
      <w:r w:rsidRPr="004F7C50">
        <w:rPr>
          <w:rFonts w:asciiTheme="minorHAnsi" w:hAnsiTheme="minorHAnsi"/>
          <w:color w:val="000000"/>
          <w:sz w:val="24"/>
          <w:u w:val="single"/>
        </w:rPr>
        <w:t>PSPR)</w:t>
      </w:r>
      <w:r w:rsidRPr="004F7C50">
        <w:rPr>
          <w:color w:val="auto"/>
          <w:sz w:val="24"/>
        </w:rPr>
        <w:t xml:space="preserve"> pidió más información sobre la estructura de las cuotas de membresía, en especial, la cuota para la participación en el Comité Ejecutivo.</w:t>
      </w:r>
    </w:p>
    <w:p w14:paraId="47C5E10B" w14:textId="00902A37" w:rsidR="0033149D" w:rsidRPr="004F7C50" w:rsidRDefault="0033149D" w:rsidP="0018605B">
      <w:pPr>
        <w:pStyle w:val="Standard"/>
        <w:spacing w:after="240" w:line="276" w:lineRule="auto"/>
        <w:jc w:val="both"/>
        <w:rPr>
          <w:color w:val="auto"/>
          <w:sz w:val="24"/>
          <w:szCs w:val="24"/>
        </w:rPr>
      </w:pPr>
      <w:r w:rsidRPr="004F7C50">
        <w:rPr>
          <w:color w:val="auto"/>
          <w:sz w:val="24"/>
        </w:rPr>
        <w:t xml:space="preserve">El secretario general explicó que los miembros del Comité Ejecutivo pagaban una cuota anual adicional de 400 EUR. Dado que los miembros del Comité Ejecutivo también eran miembros de la Junta General y de los grupos de trabajo, no se había sugerido aumento para su cuota específica. </w:t>
      </w:r>
    </w:p>
    <w:p w14:paraId="5439D3E4" w14:textId="23D77CA7" w:rsidR="0033149D" w:rsidRPr="004F7C50" w:rsidRDefault="00E4546F" w:rsidP="0018605B">
      <w:pPr>
        <w:pStyle w:val="Standard"/>
        <w:spacing w:after="240" w:line="276" w:lineRule="auto"/>
        <w:jc w:val="both"/>
        <w:rPr>
          <w:color w:val="auto"/>
          <w:sz w:val="24"/>
          <w:szCs w:val="24"/>
        </w:rPr>
      </w:pPr>
      <w:r w:rsidRPr="004F7C50">
        <w:rPr>
          <w:color w:val="auto"/>
          <w:sz w:val="24"/>
          <w:u w:val="single"/>
        </w:rPr>
        <w:t>Janne Posti (Conxemar)</w:t>
      </w:r>
      <w:r w:rsidRPr="004F7C50">
        <w:rPr>
          <w:color w:val="auto"/>
          <w:sz w:val="24"/>
        </w:rPr>
        <w:t xml:space="preserve"> expresó su apoyo a la actualización propuesta. Según su perspectiva, los aumentos sugeridos eran coherentes con las necesidades financieras del MAC y no eran sustanciosos. </w:t>
      </w:r>
    </w:p>
    <w:p w14:paraId="45E08816" w14:textId="68FAE312" w:rsidR="0033149D" w:rsidRPr="004F7C50" w:rsidRDefault="00E4546F" w:rsidP="0018605B">
      <w:pPr>
        <w:pStyle w:val="Standard"/>
        <w:spacing w:after="240" w:line="276" w:lineRule="auto"/>
        <w:jc w:val="both"/>
        <w:rPr>
          <w:color w:val="auto"/>
          <w:sz w:val="24"/>
          <w:szCs w:val="24"/>
        </w:rPr>
      </w:pPr>
      <w:r w:rsidRPr="004F7C50">
        <w:rPr>
          <w:color w:val="auto"/>
          <w:sz w:val="24"/>
          <w:u w:val="single"/>
        </w:rPr>
        <w:t>Alessandro Manghisi (ASC)</w:t>
      </w:r>
      <w:r w:rsidRPr="004F7C50">
        <w:rPr>
          <w:color w:val="auto"/>
          <w:sz w:val="24"/>
        </w:rPr>
        <w:t xml:space="preserve"> también expresó su apoyo a la actualización sugerida. El Sr. Manghisi sugirió revisar los techos de reembolso y las dietas de viaje. La compensación debía ser coherente con los costes reales de participación sin que comporte un beneficio para los miembros participantes. </w:t>
      </w:r>
    </w:p>
    <w:p w14:paraId="478033D5" w14:textId="693A5BB3" w:rsidR="0033149D" w:rsidRPr="004F7C50" w:rsidRDefault="00E4546F" w:rsidP="0018605B">
      <w:pPr>
        <w:pStyle w:val="Standard"/>
        <w:spacing w:after="240" w:line="276" w:lineRule="auto"/>
        <w:jc w:val="both"/>
        <w:rPr>
          <w:color w:val="auto"/>
          <w:sz w:val="24"/>
          <w:szCs w:val="24"/>
        </w:rPr>
      </w:pPr>
      <w:r w:rsidRPr="004F7C50">
        <w:rPr>
          <w:color w:val="auto"/>
          <w:sz w:val="24"/>
          <w:u w:val="single"/>
        </w:rPr>
        <w:t>Matthew Gréant (EJF)</w:t>
      </w:r>
      <w:r w:rsidRPr="004F7C50">
        <w:rPr>
          <w:color w:val="auto"/>
          <w:sz w:val="24"/>
        </w:rPr>
        <w:t xml:space="preserve"> pidió aclaraciones sobre si había habido ajustes previos a las cuotas de membresía anuales. </w:t>
      </w:r>
    </w:p>
    <w:p w14:paraId="5EA15353" w14:textId="46AC5BC1" w:rsidR="0034035A" w:rsidRPr="004F7C50" w:rsidRDefault="006D542F" w:rsidP="0018605B">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secretario general</w:t>
      </w:r>
      <w:r w:rsidRPr="004F7C50">
        <w:rPr>
          <w:color w:val="auto"/>
          <w:sz w:val="24"/>
        </w:rPr>
        <w:t xml:space="preserve"> informó de que, desde que se estableció el MAC, no se habían actualizado. </w:t>
      </w:r>
    </w:p>
    <w:p w14:paraId="58FFA454" w14:textId="2A273DBA" w:rsidR="0034035A" w:rsidRPr="004F7C50" w:rsidRDefault="0034035A" w:rsidP="0018605B">
      <w:pPr>
        <w:pStyle w:val="Standard"/>
        <w:spacing w:after="240" w:line="276" w:lineRule="auto"/>
        <w:jc w:val="both"/>
        <w:rPr>
          <w:color w:val="auto"/>
          <w:sz w:val="24"/>
          <w:szCs w:val="24"/>
        </w:rPr>
      </w:pPr>
      <w:r w:rsidRPr="004F7C50">
        <w:rPr>
          <w:color w:val="auto"/>
          <w:sz w:val="24"/>
          <w:u w:val="single"/>
        </w:rPr>
        <w:t>Matthew Gréant (EJF)</w:t>
      </w:r>
      <w:r w:rsidRPr="004F7C50">
        <w:rPr>
          <w:color w:val="auto"/>
          <w:sz w:val="24"/>
        </w:rPr>
        <w:t xml:space="preserve"> respondió que el aumento sugerido parecía razonable. </w:t>
      </w:r>
    </w:p>
    <w:p w14:paraId="179D4EAC" w14:textId="52057B01" w:rsidR="0034035A" w:rsidRPr="004F7C50" w:rsidRDefault="0034035A" w:rsidP="0018605B">
      <w:pPr>
        <w:pStyle w:val="Standard"/>
        <w:spacing w:after="240" w:line="276" w:lineRule="auto"/>
        <w:jc w:val="both"/>
        <w:rPr>
          <w:color w:val="auto"/>
          <w:sz w:val="24"/>
          <w:szCs w:val="24"/>
        </w:rPr>
      </w:pPr>
      <w:r w:rsidRPr="004F7C50">
        <w:rPr>
          <w:color w:val="auto"/>
          <w:sz w:val="24"/>
          <w:u w:val="single"/>
        </w:rPr>
        <w:t>Katarina Sipic (Seafood Europe)</w:t>
      </w:r>
      <w:r w:rsidRPr="004F7C50">
        <w:rPr>
          <w:color w:val="auto"/>
          <w:sz w:val="24"/>
        </w:rPr>
        <w:t xml:space="preserve"> expresó su apoyo al aumento sugerido. </w:t>
      </w:r>
    </w:p>
    <w:p w14:paraId="3353A244" w14:textId="647E1072" w:rsidR="0034035A" w:rsidRPr="004F7C50" w:rsidRDefault="0034035A" w:rsidP="0018605B">
      <w:pPr>
        <w:pStyle w:val="Standard"/>
        <w:spacing w:after="240" w:line="276" w:lineRule="auto"/>
        <w:jc w:val="both"/>
        <w:rPr>
          <w:color w:val="auto"/>
          <w:sz w:val="24"/>
          <w:szCs w:val="24"/>
        </w:rPr>
      </w:pPr>
      <w:r w:rsidRPr="004F7C50">
        <w:rPr>
          <w:color w:val="auto"/>
          <w:sz w:val="24"/>
          <w:u w:val="single"/>
        </w:rPr>
        <w:lastRenderedPageBreak/>
        <w:t>Julien Lamothe (EAPO)</w:t>
      </w:r>
      <w:r w:rsidRPr="004F7C50">
        <w:rPr>
          <w:color w:val="auto"/>
          <w:sz w:val="24"/>
        </w:rPr>
        <w:t xml:space="preserve"> también expresó su apoyo. </w:t>
      </w:r>
    </w:p>
    <w:p w14:paraId="5176F88C" w14:textId="26382A56" w:rsidR="0034035A" w:rsidRPr="004F7C50" w:rsidRDefault="0034035A" w:rsidP="0018605B">
      <w:pPr>
        <w:pStyle w:val="Standard"/>
        <w:spacing w:after="240" w:line="276" w:lineRule="auto"/>
        <w:jc w:val="both"/>
        <w:rPr>
          <w:color w:val="auto"/>
          <w:sz w:val="24"/>
          <w:szCs w:val="24"/>
        </w:rPr>
      </w:pPr>
      <w:r w:rsidRPr="004F7C50">
        <w:rPr>
          <w:color w:val="auto"/>
          <w:sz w:val="24"/>
          <w:u w:val="single"/>
        </w:rPr>
        <w:t>María Luisa Álvarez Blanco (FEDEPESCA)</w:t>
      </w:r>
      <w:r w:rsidRPr="004F7C50">
        <w:rPr>
          <w:color w:val="auto"/>
          <w:sz w:val="24"/>
        </w:rPr>
        <w:t xml:space="preserve"> advirtió que los costes reales de participación en las reuniones no siempre quedaban completamente cubiertos por los reembolsos ofrecidos. </w:t>
      </w:r>
    </w:p>
    <w:p w14:paraId="1492D2D9" w14:textId="70CFF651" w:rsidR="0034035A" w:rsidRPr="004F7C50" w:rsidRDefault="00E4546F" w:rsidP="0018605B">
      <w:pPr>
        <w:pStyle w:val="Standard"/>
        <w:spacing w:after="240" w:line="276" w:lineRule="auto"/>
        <w:jc w:val="both"/>
        <w:rPr>
          <w:color w:val="auto"/>
          <w:sz w:val="24"/>
          <w:szCs w:val="24"/>
        </w:rPr>
      </w:pPr>
      <w:r w:rsidRPr="004F7C50">
        <w:rPr>
          <w:color w:val="auto"/>
          <w:sz w:val="24"/>
        </w:rPr>
        <w:t xml:space="preserve">La </w:t>
      </w:r>
      <w:r w:rsidRPr="004F7C50">
        <w:rPr>
          <w:color w:val="auto"/>
          <w:sz w:val="24"/>
          <w:u w:val="single"/>
        </w:rPr>
        <w:t>presidenta</w:t>
      </w:r>
      <w:r w:rsidRPr="004F7C50">
        <w:rPr>
          <w:color w:val="auto"/>
          <w:sz w:val="24"/>
        </w:rPr>
        <w:t xml:space="preserve"> indicó que había un apoyo general por parte del Comité Ejecutivo a proceder con la actualización. Añadió que, si fuera necesario, podría seguir revisándose el presupuesto, incluidas las tasas de reembolso. </w:t>
      </w:r>
    </w:p>
    <w:p w14:paraId="3BC2D3D9" w14:textId="00B466EF" w:rsidR="0034035A" w:rsidRPr="004F7C50" w:rsidRDefault="00331037" w:rsidP="0018605B">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secretario general</w:t>
      </w:r>
      <w:r w:rsidRPr="004F7C50">
        <w:rPr>
          <w:color w:val="auto"/>
          <w:sz w:val="24"/>
        </w:rPr>
        <w:t xml:space="preserve"> agradeció a los miembros su apoyo y sus opiniones positivas. Reconoció que, tal y como había mencionado el Sr. Ojeda, en el caso de los Consejos Consultivos, el aumento de </w:t>
      </w:r>
      <w:r w:rsidR="002319CD" w:rsidRPr="004F7C50">
        <w:rPr>
          <w:color w:val="auto"/>
          <w:sz w:val="24"/>
        </w:rPr>
        <w:t>miembros</w:t>
      </w:r>
      <w:r w:rsidRPr="004F7C50">
        <w:rPr>
          <w:color w:val="auto"/>
          <w:sz w:val="24"/>
        </w:rPr>
        <w:t xml:space="preserve"> se traducía en presiones presupuestarias. </w:t>
      </w:r>
    </w:p>
    <w:p w14:paraId="0039321E" w14:textId="3C3DE25D" w:rsidR="0034035A" w:rsidRPr="004F7C50" w:rsidRDefault="0034035A" w:rsidP="0018605B">
      <w:pPr>
        <w:pStyle w:val="Standard"/>
        <w:spacing w:after="240" w:line="276" w:lineRule="auto"/>
        <w:jc w:val="both"/>
        <w:rPr>
          <w:color w:val="auto"/>
          <w:sz w:val="24"/>
          <w:szCs w:val="24"/>
        </w:rPr>
      </w:pPr>
      <w:r w:rsidRPr="004F7C50">
        <w:rPr>
          <w:color w:val="auto"/>
          <w:sz w:val="24"/>
        </w:rPr>
        <w:t>El secretario general recordó las Directrices para los reembolsos y dietas por viajes, alojamiento y gastos de manutención se habían revisado por parte del Comité Ejecutivo en 2023. Los techos eran coherentes con las directrices financieras de la Comisión Europea. Según lo que él sabía, las opiniones de los miembros sobre los reembolsos y las dietas seguían siendo mixtas. En ocasiones anteriores, varios miembros encontraron dificultades por el aumento del coste de los billetes de avión y el aumento del coste del alojamiento en Bruselas. Por lo tanto, seguía siendo poco probable llegar a un consenso sobre una reducción de los techos.</w:t>
      </w:r>
    </w:p>
    <w:p w14:paraId="2B69FEF1" w14:textId="03D86174" w:rsidR="0034035A" w:rsidRPr="004F7C50" w:rsidRDefault="0034035A" w:rsidP="0018605B">
      <w:pPr>
        <w:pStyle w:val="Standard"/>
        <w:spacing w:after="240" w:line="276" w:lineRule="auto"/>
        <w:jc w:val="both"/>
        <w:rPr>
          <w:color w:val="auto"/>
          <w:sz w:val="24"/>
          <w:szCs w:val="24"/>
        </w:rPr>
      </w:pPr>
      <w:r w:rsidRPr="004F7C50">
        <w:rPr>
          <w:color w:val="auto"/>
          <w:sz w:val="24"/>
        </w:rPr>
        <w:t xml:space="preserve">El secretario general informó de que las decisiones sobre la composición de la membresía de los Consejos Consultivos recaía en última </w:t>
      </w:r>
      <w:r w:rsidR="002319CD" w:rsidRPr="004F7C50">
        <w:rPr>
          <w:color w:val="auto"/>
          <w:sz w:val="24"/>
        </w:rPr>
        <w:t>instancia</w:t>
      </w:r>
      <w:r w:rsidRPr="004F7C50">
        <w:rPr>
          <w:color w:val="auto"/>
          <w:sz w:val="24"/>
        </w:rPr>
        <w:t xml:space="preserve"> en los Estados miembro, de conformidad con el punto h) del número 2 del Anexo III del Reglamento de la Política Pesquera Común. Para promover una composición equilibrada de la membresía, la secretaría tomó medidas para concienciar a las partes interesadas infrarrepresentadas, como las ONG y los productores de acuicultura. </w:t>
      </w:r>
    </w:p>
    <w:p w14:paraId="72E9A74C" w14:textId="25533650" w:rsidR="002052F0" w:rsidRPr="004F7C50" w:rsidRDefault="002052F0" w:rsidP="002052F0">
      <w:pPr>
        <w:pStyle w:val="Standard"/>
        <w:spacing w:after="240" w:line="276" w:lineRule="auto"/>
        <w:jc w:val="both"/>
        <w:rPr>
          <w:sz w:val="24"/>
          <w:szCs w:val="24"/>
        </w:rPr>
      </w:pPr>
      <w:r w:rsidRPr="004F7C50">
        <w:rPr>
          <w:sz w:val="24"/>
        </w:rPr>
        <w:t xml:space="preserve">El secretario general destacó que se habían tomado varias medidas para reducir los costes, como reducir el número de documentos que se traducen oficialmente, la selección de proveedores más baratos, la organización de reuniones virtuales, la programación de reuniones presenciales en espacios con el equipo audiovisual necesario, y más. La secretaría tomó medidas para aumentar los ingresos de contribuciones voluntarias de los Estados miembro. Expresó su disponibilidad para contactar con DG MARE y solicitar un aumento de la concesión financiera. </w:t>
      </w:r>
    </w:p>
    <w:p w14:paraId="3BAA906E" w14:textId="606D53D6" w:rsidR="002052F0" w:rsidRPr="004F7C50" w:rsidRDefault="002052F0" w:rsidP="002052F0">
      <w:pPr>
        <w:pStyle w:val="Standard"/>
        <w:spacing w:after="240" w:line="276" w:lineRule="auto"/>
        <w:jc w:val="both"/>
        <w:rPr>
          <w:color w:val="auto"/>
          <w:sz w:val="24"/>
          <w:szCs w:val="24"/>
        </w:rPr>
      </w:pPr>
      <w:r w:rsidRPr="004F7C50">
        <w:rPr>
          <w:color w:val="auto"/>
          <w:sz w:val="24"/>
        </w:rPr>
        <w:t xml:space="preserve">En lo que respecta al equilibrio de la composición de la membresía, </w:t>
      </w:r>
      <w:r w:rsidRPr="004F7C50">
        <w:rPr>
          <w:color w:val="auto"/>
          <w:sz w:val="24"/>
          <w:u w:val="single"/>
        </w:rPr>
        <w:t>María Luisa Álvarez Blanco (FEDEPESCA)</w:t>
      </w:r>
      <w:r w:rsidRPr="004F7C50">
        <w:rPr>
          <w:color w:val="auto"/>
          <w:sz w:val="24"/>
        </w:rPr>
        <w:t xml:space="preserve"> alegó que los Estados miembro no estaban adoptando un enfoque proactivo en la selección. La Comisión tampoco estaba revisando activamente la composición de los Consejos Consultivos. Además, la Srta. Álvarez puso de relieve el alto coste de celebrar las reuniones en Bruselas, y sugirió que se podían considerar alternativas. </w:t>
      </w:r>
    </w:p>
    <w:p w14:paraId="20AF1DC9" w14:textId="206C85B8" w:rsidR="002052F0" w:rsidRPr="004F7C50" w:rsidRDefault="002052F0" w:rsidP="002052F0">
      <w:pPr>
        <w:pStyle w:val="Standard"/>
        <w:spacing w:after="240" w:line="276" w:lineRule="auto"/>
        <w:jc w:val="both"/>
        <w:rPr>
          <w:color w:val="auto"/>
          <w:sz w:val="24"/>
          <w:szCs w:val="24"/>
        </w:rPr>
      </w:pPr>
      <w:r w:rsidRPr="004F7C50">
        <w:rPr>
          <w:color w:val="auto"/>
          <w:sz w:val="24"/>
        </w:rPr>
        <w:lastRenderedPageBreak/>
        <w:t xml:space="preserve">La </w:t>
      </w:r>
      <w:r w:rsidRPr="004F7C50">
        <w:rPr>
          <w:color w:val="auto"/>
          <w:sz w:val="24"/>
          <w:u w:val="single"/>
        </w:rPr>
        <w:t>presidenta</w:t>
      </w:r>
      <w:r w:rsidRPr="004F7C50">
        <w:rPr>
          <w:color w:val="auto"/>
          <w:sz w:val="24"/>
        </w:rPr>
        <w:t xml:space="preserve"> pidió a la secretaría que tuviera en cuenta los puntos planteados en las futuras propuestas presupuestarias. </w:t>
      </w:r>
    </w:p>
    <w:p w14:paraId="6C16CDE8" w14:textId="02BC045F" w:rsidR="002052F0" w:rsidRPr="004F7C50" w:rsidRDefault="007E58DE" w:rsidP="002052F0">
      <w:pPr>
        <w:pStyle w:val="Standard"/>
        <w:spacing w:after="240" w:line="276" w:lineRule="auto"/>
        <w:jc w:val="both"/>
        <w:rPr>
          <w:i/>
          <w:iCs/>
          <w:color w:val="auto"/>
          <w:sz w:val="24"/>
          <w:szCs w:val="24"/>
        </w:rPr>
      </w:pPr>
      <w:r w:rsidRPr="004F7C50">
        <w:rPr>
          <w:i/>
          <w:color w:val="auto"/>
          <w:sz w:val="24"/>
        </w:rPr>
        <w:t>El Comité Ejecutivo estuvo de acuerdo en actualizar la cuotas de membresía anual para la participación en la Junta General a 300 EUR y actualizar la cuota de membresía anual para la participación en los grupos de trabajo a 400 EUR.</w:t>
      </w:r>
    </w:p>
    <w:p w14:paraId="3C615001" w14:textId="13CEEE95" w:rsidR="00CA44E9" w:rsidRPr="004F7C50" w:rsidRDefault="00CA44E9" w:rsidP="00CA44E9">
      <w:pPr>
        <w:pStyle w:val="Standard"/>
        <w:spacing w:after="240"/>
        <w:ind w:firstLine="720"/>
        <w:jc w:val="both"/>
        <w:rPr>
          <w:b/>
          <w:bCs/>
          <w:color w:val="28B2A2"/>
          <w:sz w:val="24"/>
          <w:szCs w:val="24"/>
        </w:rPr>
      </w:pPr>
      <w:r w:rsidRPr="004F7C50">
        <w:rPr>
          <w:b/>
          <w:color w:val="28B2A2"/>
          <w:sz w:val="24"/>
        </w:rPr>
        <w:t>Programa de trabajo para el año 11 (2026-2027)</w:t>
      </w:r>
    </w:p>
    <w:p w14:paraId="7C47149F" w14:textId="70AEE137" w:rsidR="00CA44E9" w:rsidRPr="004F7C50" w:rsidRDefault="00CA44E9" w:rsidP="00CA44E9">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Presentación de las prioridades, los entregables y la planificación por Pedro Reis Santos, secretario general</w:t>
      </w:r>
    </w:p>
    <w:p w14:paraId="4B8E7589" w14:textId="77777777" w:rsidR="000A0F67" w:rsidRPr="004F7C50" w:rsidRDefault="00AA3386" w:rsidP="00AA2708">
      <w:pPr>
        <w:jc w:val="both"/>
        <w:rPr>
          <w:rFonts w:ascii="Calibri" w:eastAsia="SimSun" w:hAnsi="Calibri" w:cs="Times New Roman"/>
          <w:kern w:val="3"/>
          <w:sz w:val="24"/>
          <w:szCs w:val="24"/>
        </w:rPr>
      </w:pPr>
      <w:r w:rsidRPr="004F7C50">
        <w:rPr>
          <w:rFonts w:ascii="Calibri" w:hAnsi="Calibri"/>
          <w:sz w:val="24"/>
        </w:rPr>
        <w:t xml:space="preserve">El </w:t>
      </w:r>
      <w:r w:rsidRPr="004F7C50">
        <w:rPr>
          <w:rFonts w:ascii="Calibri" w:hAnsi="Calibri"/>
          <w:sz w:val="24"/>
          <w:u w:val="single"/>
        </w:rPr>
        <w:t>secretario general</w:t>
      </w:r>
      <w:r w:rsidRPr="004F7C50">
        <w:rPr>
          <w:rFonts w:ascii="Calibri" w:hAnsi="Calibri"/>
          <w:sz w:val="24"/>
        </w:rPr>
        <w:t xml:space="preserve"> informó de que, en comparación con el programa de trabajo actual, las prioridades conforme al borrador del programa de trabajo del undécimo año (2026-2027) seguía casi sin cambios. Las prioridades propuestas eran: La «Política Pesquera Común y Organización Común de Mercados», el «Pacto Europeo de los Océanos», la «Visión para la Pesca y la Acuicultura para 2040», «Competitividad: simplificación y reducción de la carga administrativa», los «Acuerdos comerciales e instrumentos de política comercial», la «Pesca ilegal, no declarada y no reglamentada (INDNR)», los «Trabajos forzados», el «Observatorio Europeo del Mercado de los Productos de la Pesca y de la Acuicultura (EUMOFA)», el «Comité Científico, Técnico y Económico de Pesca (CCTEP)» y el «Reglamento de Control de la Pesca». </w:t>
      </w:r>
    </w:p>
    <w:p w14:paraId="6F2C7A18" w14:textId="22EE8154" w:rsidR="000A0F67" w:rsidRPr="004F7C50" w:rsidRDefault="000A0F67" w:rsidP="00AA2708">
      <w:pPr>
        <w:jc w:val="both"/>
        <w:rPr>
          <w:rFonts w:ascii="Calibri" w:eastAsia="SimSun" w:hAnsi="Calibri" w:cs="Times New Roman"/>
          <w:kern w:val="3"/>
          <w:sz w:val="24"/>
          <w:szCs w:val="24"/>
        </w:rPr>
      </w:pPr>
      <w:r w:rsidRPr="004F7C50">
        <w:rPr>
          <w:rFonts w:ascii="Calibri" w:hAnsi="Calibri"/>
          <w:sz w:val="24"/>
        </w:rPr>
        <w:t xml:space="preserve">El secretario general enumeró las doce recomendaciones planificadas. «Campaña de concienciación de la UE sobre alimentos acuáticos», «Aspectos relacionados con el mercado del nuevo Reglamento de Control de la Pesca (trazabilidad, marcado de los lotes, certificados de captura)», «Evaluación del Reglamento de la Política Pesquera Común, incluido el Reglamento de la Organización Común de Mercados (acciones de seguimiento de la Comisión)», «Competitividad: simplificación y reducción de la carga administrativa», «Informe económico anual sobre la flota pesquera de la UE de 2027 (Términos de referencia)», «Visión para la Pesca y la Acuicultura para 2040 (acciones de seguimiento de la Comisión)», «Informe económico sobre el sector de la acuicultura de la UE», «Subcomité de Comercio Pesquero de la FAO (mandato de la UE)», «Programa de trabajo de EUMOFA, incluidas las sugerencias de casos prácticos y charlas», «Lucha contra la pesca ilegal, no declarada y no reglamentada (INDNR) y los trabajos forzados, diligencia debida», « Comercio (p. ej., acuerdos de libre comercio, contingentes arancelarios autónomos, sistema generalizado de preferencias), incluso conforme a la Estrategia para la Acción de Pesca Externa de la UE» y «Seguridad alimentaria (p. ej., contaminantes, aditivos, residuos)». Recordó que, de conformidad con las directrices financieras aplicables, los Consejos Consultivos deben completar al menos el 50 % de los compromisos conforme al programa de trabajo para recibir la concesión operativa completa de parte de DG MARE. Por lo tanto, los temas propuestos eran deliberadamente flexibles. </w:t>
      </w:r>
    </w:p>
    <w:p w14:paraId="77D237C2" w14:textId="7ABE5359" w:rsidR="00CA44E9" w:rsidRPr="004F7C50" w:rsidRDefault="00CA44E9" w:rsidP="00AA2708">
      <w:pPr>
        <w:jc w:val="both"/>
        <w:rPr>
          <w:rFonts w:ascii="Calibri" w:eastAsia="SimSun" w:hAnsi="Calibri" w:cs="Times New Roman"/>
          <w:kern w:val="3"/>
          <w:sz w:val="24"/>
          <w:szCs w:val="24"/>
        </w:rPr>
      </w:pPr>
      <w:r w:rsidRPr="004F7C50">
        <w:rPr>
          <w:rFonts w:ascii="Calibri" w:hAnsi="Calibri"/>
          <w:sz w:val="24"/>
        </w:rPr>
        <w:t xml:space="preserve">El secretario general describió las reuniones planificadas. Habría conjuntos de reuniones en noviembre de 2026, enero de 2027 y marzo de 2027, junio de 2027 y septiembre de 2027, y se alternaría entre reuniones </w:t>
      </w:r>
      <w:r w:rsidRPr="004F7C50">
        <w:rPr>
          <w:rFonts w:ascii="Calibri" w:hAnsi="Calibri"/>
          <w:sz w:val="24"/>
        </w:rPr>
        <w:lastRenderedPageBreak/>
        <w:t xml:space="preserve">virtuales y reuniones completamente presenciales. También se celebraría una reunión virtual del Comité Ejecutivo en julio de 2027. </w:t>
      </w:r>
    </w:p>
    <w:p w14:paraId="7E85A810" w14:textId="25B1ED7D" w:rsidR="00CA44E9" w:rsidRPr="004F7C50" w:rsidRDefault="00CA44E9" w:rsidP="00AA2708">
      <w:pPr>
        <w:jc w:val="both"/>
        <w:rPr>
          <w:sz w:val="24"/>
          <w:szCs w:val="24"/>
        </w:rPr>
      </w:pPr>
      <w:r w:rsidRPr="004F7C50">
        <w:rPr>
          <w:sz w:val="24"/>
          <w:u w:val="single"/>
        </w:rPr>
        <w:t>María Luisa Álvarez Blanco (FEDEPESCA)</w:t>
      </w:r>
      <w:r w:rsidRPr="004F7C50">
        <w:rPr>
          <w:sz w:val="24"/>
        </w:rPr>
        <w:t xml:space="preserve"> sugirió que el calendario de las reuniones podría compartirse de antemano. La Srta. Álvarez dio el ejemplo de la práctica en el Consejo Consultivo de Acuicultura de compartir las fechas exactas con un año de antelación. </w:t>
      </w:r>
    </w:p>
    <w:p w14:paraId="2E201698" w14:textId="19AF38A4" w:rsidR="00CA44E9" w:rsidRPr="004F7C50" w:rsidRDefault="00CA44E9" w:rsidP="00AA2708">
      <w:pPr>
        <w:jc w:val="both"/>
        <w:rPr>
          <w:rFonts w:ascii="Calibri" w:eastAsia="SimSun" w:hAnsi="Calibri" w:cs="Times New Roman"/>
          <w:kern w:val="3"/>
          <w:sz w:val="24"/>
          <w:szCs w:val="24"/>
        </w:rPr>
      </w:pPr>
      <w:r w:rsidRPr="004F7C50">
        <w:rPr>
          <w:rFonts w:ascii="Calibri" w:hAnsi="Calibri"/>
          <w:sz w:val="24"/>
        </w:rPr>
        <w:t xml:space="preserve">El </w:t>
      </w:r>
      <w:r w:rsidRPr="004F7C50">
        <w:rPr>
          <w:rFonts w:ascii="Calibri" w:hAnsi="Calibri"/>
          <w:sz w:val="24"/>
          <w:u w:val="single"/>
        </w:rPr>
        <w:t>secretario general</w:t>
      </w:r>
      <w:r w:rsidRPr="004F7C50">
        <w:rPr>
          <w:rFonts w:ascii="Calibri" w:hAnsi="Calibri"/>
          <w:sz w:val="24"/>
        </w:rPr>
        <w:t xml:space="preserve"> respondió que, para dar flexibilidad, las fechas de las reuniones normalmente se programaban con un par de meses de antelación. Sin embargo, se habían tomado medidas para establecer las fechas con más antelación. </w:t>
      </w:r>
    </w:p>
    <w:p w14:paraId="4F69CD95" w14:textId="4AE82CA3" w:rsidR="00CA44E9" w:rsidRPr="004F7C50" w:rsidRDefault="000A0F67" w:rsidP="00CA44E9">
      <w:pPr>
        <w:jc w:val="both"/>
        <w:rPr>
          <w:rFonts w:ascii="Calibri" w:eastAsia="SimSun" w:hAnsi="Calibri" w:cs="Times New Roman"/>
          <w:i/>
          <w:iCs/>
          <w:kern w:val="3"/>
          <w:sz w:val="24"/>
          <w:szCs w:val="24"/>
        </w:rPr>
      </w:pPr>
      <w:r w:rsidRPr="004F7C50">
        <w:rPr>
          <w:rFonts w:ascii="Calibri" w:hAnsi="Calibri"/>
          <w:i/>
          <w:sz w:val="24"/>
        </w:rPr>
        <w:t>El Comité Ejecutivo acordó proceder con la entrega del borrador del programa de trabajo propuesto a la Comisión Europea-</w:t>
      </w:r>
    </w:p>
    <w:p w14:paraId="2900AC37" w14:textId="272B9BA3" w:rsidR="00CA44E9" w:rsidRPr="004F7C50" w:rsidRDefault="00CA44E9" w:rsidP="00CA44E9">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Presentación del borrador de presupuesto por Dawlat Bik, director financiero</w:t>
      </w:r>
    </w:p>
    <w:p w14:paraId="79B54D87" w14:textId="77777777" w:rsidR="00B70325" w:rsidRPr="004F7C50" w:rsidRDefault="00117C99" w:rsidP="00AE3136">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director financiero</w:t>
      </w:r>
      <w:r w:rsidRPr="004F7C50">
        <w:rPr>
          <w:color w:val="auto"/>
          <w:sz w:val="24"/>
        </w:rPr>
        <w:t xml:space="preserve"> presentó el borrador del presupuesto para el undécimo año (1 de octubre de 2026 - 30 de septiembre de 2027) y describió los gastos por categoría. Los centros de costes representaban las siguientes proporciones del presupuesto: personal (40,82 %), participación en reuniones (21,56 %), información y preparación de las reuniones (10,56 %), costes operativos (2,2 %), interpretación y traducción (18,86 %) y otros contratos (6 %). En comparación con el presupuesto actual, se propuso un aumento del 7,23 %. </w:t>
      </w:r>
    </w:p>
    <w:p w14:paraId="3695399D" w14:textId="2CF66D77" w:rsidR="00CA44E9" w:rsidRPr="004F7C50" w:rsidRDefault="00B70325" w:rsidP="00AE3136">
      <w:pPr>
        <w:pStyle w:val="Standard"/>
        <w:spacing w:after="240" w:line="276" w:lineRule="auto"/>
        <w:jc w:val="both"/>
        <w:rPr>
          <w:color w:val="auto"/>
          <w:sz w:val="24"/>
          <w:szCs w:val="24"/>
        </w:rPr>
      </w:pPr>
      <w:r w:rsidRPr="004F7C50">
        <w:rPr>
          <w:color w:val="auto"/>
          <w:sz w:val="24"/>
        </w:rPr>
        <w:t xml:space="preserve">El director financiero informó de que la categoría «personal» había aumentado un 5,35 % para reflejar los requisitos legales sobre indexación, bonificaciones de final de año y tickets restaurante. La categoría «participación en reuniones» aumentó un 3,81 % para reflejar el aumento de los costes de viaje y alojamiento de los miembros. La categoría «información y participación en reuniones» siguió siendo esencialmente igual: se redujo un 0,01 %. Los «costes operativos» aumentó un 15,93 % para reflejar un registro más conciso de los costes de alquiler de oficina para el director administrativo y el director financiero en el marco del contrato de servicios externos. La categoría «otros contratos» aumentó un 158,37 % por el requisito legal de llevar a cabo revisiones de desempeño externas cada cinco años. </w:t>
      </w:r>
    </w:p>
    <w:p w14:paraId="0F4F4CCE" w14:textId="7D5AE13C" w:rsidR="00B70325" w:rsidRPr="004F7C50" w:rsidRDefault="00B70325" w:rsidP="00AE3136">
      <w:pPr>
        <w:pStyle w:val="Standard"/>
        <w:spacing w:after="240" w:line="276" w:lineRule="auto"/>
        <w:jc w:val="both"/>
        <w:rPr>
          <w:color w:val="auto"/>
          <w:sz w:val="24"/>
          <w:szCs w:val="24"/>
        </w:rPr>
      </w:pPr>
      <w:r w:rsidRPr="004F7C50">
        <w:rPr>
          <w:color w:val="auto"/>
          <w:sz w:val="24"/>
        </w:rPr>
        <w:t xml:space="preserve">Asimismo, el director financiero informó de que, en lo que concierne a los ingresos, el presupuesto seguía dependiendo predominantemente de la concesión operativa de DG MARE, que representaba el 75 % de los ingresos. Dichos ingresos se complementaban con las cuotas de membresía (15 %) y las contribuciones financieras voluntarias de los Estados miembro (10 %). </w:t>
      </w:r>
    </w:p>
    <w:p w14:paraId="6A6B497A" w14:textId="725BAA1E" w:rsidR="00CA44E9" w:rsidRPr="004F7C50" w:rsidRDefault="00D345EB" w:rsidP="00D345EB">
      <w:pPr>
        <w:pStyle w:val="Standard"/>
        <w:spacing w:after="240"/>
        <w:jc w:val="both"/>
        <w:rPr>
          <w:i/>
          <w:iCs/>
          <w:color w:val="auto"/>
          <w:sz w:val="24"/>
          <w:szCs w:val="24"/>
        </w:rPr>
      </w:pPr>
      <w:r w:rsidRPr="004F7C50">
        <w:rPr>
          <w:i/>
          <w:color w:val="auto"/>
          <w:sz w:val="24"/>
        </w:rPr>
        <w:t>El Comité Ejecutivo acordó proceder con la entrega del borrador del presupuesto propuesto a la Comisión Europea.</w:t>
      </w:r>
    </w:p>
    <w:p w14:paraId="68491D5B" w14:textId="11E61FA9" w:rsidR="00D345EB" w:rsidRPr="004F7C50" w:rsidRDefault="002319CD" w:rsidP="00D345EB">
      <w:pPr>
        <w:pStyle w:val="Standard"/>
        <w:spacing w:after="240"/>
        <w:jc w:val="both"/>
        <w:rPr>
          <w:b/>
          <w:bCs/>
          <w:color w:val="28B2A2"/>
          <w:sz w:val="24"/>
          <w:szCs w:val="24"/>
        </w:rPr>
      </w:pPr>
      <w:r w:rsidRPr="004F7C50">
        <w:rPr>
          <w:b/>
          <w:color w:val="28B2A2"/>
          <w:sz w:val="24"/>
        </w:rPr>
        <w:t>Secretaría</w:t>
      </w:r>
    </w:p>
    <w:p w14:paraId="57F81E06" w14:textId="74B3544C" w:rsidR="00D345EB" w:rsidRPr="004F7C50" w:rsidRDefault="00D345EB" w:rsidP="00D345EB">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lastRenderedPageBreak/>
        <w:t>Decisión sobre el lanzamiento de un procedimiento de licitación para contratar servicios de apoyo administrativo y financiero para el periodo 2026-2029</w:t>
      </w:r>
    </w:p>
    <w:p w14:paraId="04F538C5" w14:textId="01816E22" w:rsidR="00D345EB" w:rsidRPr="004F7C50" w:rsidRDefault="00F22A37" w:rsidP="00117C99">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secretario general</w:t>
      </w:r>
      <w:r w:rsidRPr="004F7C50">
        <w:rPr>
          <w:color w:val="auto"/>
          <w:sz w:val="24"/>
        </w:rPr>
        <w:t xml:space="preserve"> recordó que, en 2023, se celebró un contrato con EBCD para la prestación de servicios de apoyo administrativo y financiero para el periodo comprendido entre el 1 de octubre de 2023 y el 30 de septiembre de 2026. El secretario general propuso proceder con el lanzamiento de un nuevo procedimiento de licitación para celebrar un nuevo contrato para el periodo entre el 1 de octubre de 2026 y el 30 de septiembre de 2029. Con el nuevo contrato se trataría de obtener unos servicios y precios equivalentes a los actuales, incluidos los ajustes a la inflación. </w:t>
      </w:r>
    </w:p>
    <w:p w14:paraId="65F098C9" w14:textId="3C0C5BF0" w:rsidR="00D345EB" w:rsidRPr="004F7C50" w:rsidRDefault="00D345EB" w:rsidP="00117C99">
      <w:pPr>
        <w:pStyle w:val="Standard"/>
        <w:spacing w:after="240" w:line="276" w:lineRule="auto"/>
        <w:jc w:val="both"/>
        <w:rPr>
          <w:color w:val="auto"/>
          <w:sz w:val="24"/>
          <w:szCs w:val="24"/>
        </w:rPr>
      </w:pPr>
      <w:r w:rsidRPr="004F7C50">
        <w:rPr>
          <w:color w:val="auto"/>
          <w:sz w:val="24"/>
        </w:rPr>
        <w:t xml:space="preserve">El secretario general destacó que, de conformidad con las directrices financieras aplicables, debido al valor del contrato, tendría que publicarse una convocatoria de licitación en internet. Sugirió proceder con un plazo de un mes. En caso de varias candidaturas, un Comité de Evaluación compuesto por la presidenta, los vicepresidentes y los Presidentes de los grupos de trabajo evaluarían las ofertas. Se programaría la aprobación formal del contrato para la reunión del 17 de septiembre de 2026. </w:t>
      </w:r>
    </w:p>
    <w:p w14:paraId="5299168A" w14:textId="0A6C0208" w:rsidR="00D345EB" w:rsidRPr="004F7C50" w:rsidRDefault="001957FF" w:rsidP="001957FF">
      <w:pPr>
        <w:pStyle w:val="Standard"/>
        <w:spacing w:after="240"/>
        <w:jc w:val="both"/>
        <w:rPr>
          <w:i/>
          <w:iCs/>
          <w:color w:val="auto"/>
          <w:sz w:val="24"/>
          <w:szCs w:val="24"/>
        </w:rPr>
      </w:pPr>
      <w:r w:rsidRPr="004F7C50">
        <w:rPr>
          <w:i/>
          <w:color w:val="auto"/>
          <w:sz w:val="24"/>
        </w:rPr>
        <w:t xml:space="preserve">El Comité Ejecutivo acordó proceder con el lanzamiento de un procedimiento de licitación para contratar servicios de apoyo administrativo y financiero para el periodo entre el 1 de octubre de 2026 y el 30 de septiembre de 2029. </w:t>
      </w:r>
    </w:p>
    <w:p w14:paraId="29A907A8" w14:textId="05BF2B0E" w:rsidR="008F6826" w:rsidRPr="004F7C50" w:rsidRDefault="008F6826" w:rsidP="00117C99">
      <w:pPr>
        <w:pStyle w:val="Standard"/>
        <w:spacing w:after="240" w:line="276" w:lineRule="auto"/>
        <w:ind w:left="720"/>
        <w:jc w:val="both"/>
        <w:rPr>
          <w:b/>
          <w:bCs/>
          <w:color w:val="28B2A2"/>
          <w:sz w:val="24"/>
          <w:szCs w:val="24"/>
        </w:rPr>
      </w:pPr>
      <w:r w:rsidRPr="004F7C50">
        <w:rPr>
          <w:b/>
          <w:color w:val="28B2A2"/>
          <w:sz w:val="24"/>
        </w:rPr>
        <w:t>Representación externa</w:t>
      </w:r>
    </w:p>
    <w:p w14:paraId="0934A223" w14:textId="10BCF9FC" w:rsidR="00005E17" w:rsidRPr="004F7C50" w:rsidRDefault="00005E17" w:rsidP="00005E17">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 xml:space="preserve">Presentación de informes sobre las siguientes reuniones: </w:t>
      </w:r>
    </w:p>
    <w:p w14:paraId="71BA52C1" w14:textId="73AFB069" w:rsidR="008F6826" w:rsidRPr="004F7C50" w:rsidRDefault="008F6826" w:rsidP="00117C99">
      <w:pPr>
        <w:pStyle w:val="Standard"/>
        <w:numPr>
          <w:ilvl w:val="1"/>
          <w:numId w:val="21"/>
        </w:numPr>
        <w:spacing w:after="240" w:line="276" w:lineRule="auto"/>
        <w:jc w:val="both"/>
        <w:rPr>
          <w:b/>
          <w:bCs/>
          <w:color w:val="auto"/>
          <w:sz w:val="24"/>
          <w:szCs w:val="24"/>
        </w:rPr>
      </w:pPr>
      <w:r w:rsidRPr="004F7C50">
        <w:rPr>
          <w:b/>
          <w:color w:val="auto"/>
          <w:sz w:val="24"/>
        </w:rPr>
        <w:t>Conferencia de Alto Nivel sobre las Islas y las Comunidades Costeras (Paphos, 26 de junio de 2026) por Daniel Voces (Europêche)</w:t>
      </w:r>
    </w:p>
    <w:p w14:paraId="01AF9DD2" w14:textId="2C59A3BD" w:rsidR="00005E17" w:rsidRPr="004F7C50" w:rsidRDefault="005A4FB1" w:rsidP="00117C99">
      <w:pPr>
        <w:pStyle w:val="Standard"/>
        <w:spacing w:after="240" w:line="276" w:lineRule="auto"/>
        <w:jc w:val="both"/>
        <w:rPr>
          <w:color w:val="auto"/>
          <w:sz w:val="24"/>
          <w:szCs w:val="24"/>
        </w:rPr>
      </w:pPr>
      <w:r w:rsidRPr="004F7C50">
        <w:rPr>
          <w:color w:val="auto"/>
          <w:sz w:val="24"/>
          <w:u w:val="single"/>
        </w:rPr>
        <w:t>Daniel Voces (Europêche)</w:t>
      </w:r>
      <w:r w:rsidRPr="004F7C50">
        <w:rPr>
          <w:color w:val="auto"/>
          <w:sz w:val="24"/>
        </w:rPr>
        <w:t xml:space="preserve"> informó de que, tras la solicitud lanzada en la reunión general, asistió a la Conferencia de Alto Nivel sobre las Islas y las Comunidades Costeras el 26 de junio de 2026 en representación del MAC. El Sr. Voces informó de que la conferencia la iniciaron representantes de alto nivel de Chipre, Malta y la Comisión Europea. Un panel que incluía representantes del Parlamento Europeo, gobiernos nacionales, el Comité Económico y Social Europeo y al antiguo comisario Vella se centró en la importancia de las comunidades costeras y las islas. Destacó que la Estrategia de la UE para las Islas se centraba en el desarrollo, la innovación, la protección medioambiental, la energía y la demografía. La Estrategia de la UE para las Comunidades Costeras se centraba en la ordenación espacial marina, los </w:t>
      </w:r>
      <w:r w:rsidR="002319CD" w:rsidRPr="004F7C50">
        <w:rPr>
          <w:color w:val="auto"/>
          <w:sz w:val="24"/>
        </w:rPr>
        <w:t>clústeres</w:t>
      </w:r>
      <w:r w:rsidRPr="004F7C50">
        <w:rPr>
          <w:color w:val="auto"/>
          <w:sz w:val="24"/>
        </w:rPr>
        <w:t xml:space="preserve"> de bioeconomía azul, los créditos de carbono azul y la resiliencia ante el clima. Antes de la publicación de las estrategias, el MAC publicó un dictamen al respecto. </w:t>
      </w:r>
    </w:p>
    <w:p w14:paraId="37A0B0A9" w14:textId="6EE01DBD" w:rsidR="008F6826" w:rsidRPr="004F7C50" w:rsidRDefault="008F6826" w:rsidP="00117C99">
      <w:pPr>
        <w:pStyle w:val="Standard"/>
        <w:numPr>
          <w:ilvl w:val="1"/>
          <w:numId w:val="22"/>
        </w:numPr>
        <w:spacing w:after="240" w:line="276" w:lineRule="auto"/>
        <w:jc w:val="both"/>
        <w:rPr>
          <w:b/>
          <w:bCs/>
          <w:color w:val="auto"/>
          <w:sz w:val="24"/>
          <w:szCs w:val="24"/>
        </w:rPr>
      </w:pPr>
      <w:r w:rsidRPr="004F7C50">
        <w:rPr>
          <w:b/>
          <w:color w:val="auto"/>
          <w:sz w:val="24"/>
        </w:rPr>
        <w:t>Diálogo de implementación sobre la Política de acuicultura de la UE (Bruselas, 30 de junio de 2026) por Yobana Bermúdez (presidenta)</w:t>
      </w:r>
    </w:p>
    <w:p w14:paraId="5D40E25D" w14:textId="366B9776" w:rsidR="00882C5A" w:rsidRPr="004F7C50" w:rsidRDefault="00E71CE5" w:rsidP="00117C99">
      <w:pPr>
        <w:pStyle w:val="Standard"/>
        <w:spacing w:after="240" w:line="276" w:lineRule="auto"/>
        <w:jc w:val="both"/>
        <w:rPr>
          <w:color w:val="auto"/>
          <w:sz w:val="24"/>
          <w:szCs w:val="24"/>
        </w:rPr>
      </w:pPr>
      <w:r w:rsidRPr="004F7C50">
        <w:rPr>
          <w:color w:val="auto"/>
          <w:sz w:val="24"/>
        </w:rPr>
        <w:lastRenderedPageBreak/>
        <w:t xml:space="preserve">La </w:t>
      </w:r>
      <w:r w:rsidRPr="004F7C50">
        <w:rPr>
          <w:color w:val="auto"/>
          <w:sz w:val="24"/>
          <w:u w:val="single"/>
        </w:rPr>
        <w:t>presidenta</w:t>
      </w:r>
      <w:r w:rsidRPr="004F7C50">
        <w:rPr>
          <w:color w:val="auto"/>
          <w:sz w:val="24"/>
        </w:rPr>
        <w:t xml:space="preserve"> informó de que, en el Diálogo de implementación sobre la Política de acuicultura de la UE, el comisario Kadis subrayó en sus palabras de apertura que la Política Pesquera Común promueve el desarrollo de la acuicultura y que el Diálogo de implementación contribuiría a la preparación de la Visión para la Pesca y la Acuicultura para 2040. El comisario reconoció que el método coordinado de la política sobre acuicultura no fue capaz de arrojar los resultados esperados. Por lo tanto, el objetivo del Diálogo de implementación era analizar lo que había funcionado bien y lo que debía mejorarse, incluido el marco legal. El comisario indicó que los requisitos regulatorios sobre la producción orgánica —incluso sobre el etiquetado— también podían afectar al desarrollo de la acuicultura, así que animó a que se opinara al respecto. </w:t>
      </w:r>
    </w:p>
    <w:p w14:paraId="29F343AE" w14:textId="312C2315" w:rsidR="00882C5A" w:rsidRPr="004F7C50" w:rsidRDefault="00882C5A" w:rsidP="00117C99">
      <w:pPr>
        <w:pStyle w:val="Standard"/>
        <w:spacing w:after="240" w:line="276" w:lineRule="auto"/>
        <w:jc w:val="both"/>
        <w:rPr>
          <w:color w:val="auto"/>
          <w:sz w:val="24"/>
          <w:szCs w:val="24"/>
        </w:rPr>
      </w:pPr>
      <w:r w:rsidRPr="004F7C50">
        <w:rPr>
          <w:color w:val="auto"/>
          <w:sz w:val="24"/>
        </w:rPr>
        <w:t xml:space="preserve">La presidenta informó de los comentarios generales formulados por los participantes. Según los participantes, la acuicultura es esencial para la nueva economía azul. Aunque la implementación de la política de acuicultura está vinculada a las competencias nacionales, la acuicultura se ha estancado en todos los Estados miembro. El declive lleva siendo constante durante 25 años, aunque la producción de acuicultura está creciendo en los países ajenos a la UE. A pesar de los diez años de implementación de las directrices estratégicas de la UE para la acuicultura, la producción de la UE continuaba sin desarrollarse. La Comisión no estaba monitorizando lo suficiente la implementación nacional de las directrices. Se estaba prestando una atención política insuficiente a la acuicultura. Una de las principales dificultades a que se enfrentaban los productores de la UE era la sobrerregulación; en especial, los requisitos medioambientales. Se necesitaban mejores controles, coordinación y una implementación igualitaria en toda la UE. La política sobre acuicultura no estaba suficientemente reflejada dentro del Reglamento de la Política Pesquera Común, por lo que se precisaba una revisión legislativa. Se necesitaban políticas y planes específicos del sector, incluso para la simplificación de la carga legislativa. La igualdad de condiciones —especialmente con las importaciones— planteaba un problema importante. Debería haber niveles equivalentes de investigación, innovación y financiación en todas las regiones y países. Las necesidades de los productores primarios pequeños deberían formar parte de los paquetes de innovación. En términos del mercado, había diferentes mercados para las diferentes especies. </w:t>
      </w:r>
    </w:p>
    <w:p w14:paraId="216FC33D" w14:textId="101BE92B" w:rsidR="00882C5A" w:rsidRPr="004F7C50" w:rsidRDefault="002A29EB" w:rsidP="00117C99">
      <w:pPr>
        <w:pStyle w:val="Standard"/>
        <w:spacing w:after="240" w:line="276" w:lineRule="auto"/>
        <w:jc w:val="both"/>
        <w:rPr>
          <w:color w:val="auto"/>
          <w:sz w:val="24"/>
          <w:szCs w:val="24"/>
        </w:rPr>
      </w:pPr>
      <w:r w:rsidRPr="004F7C50">
        <w:rPr>
          <w:color w:val="auto"/>
          <w:sz w:val="24"/>
        </w:rPr>
        <w:t xml:space="preserve">La presidenta también indicó que el gabinete del comisario habían pedido que las intervenciones fueran lo más concretas posible. Las partes interesadas respondieron que los Estados miembro estaban aplicando la legislación de diferentes formas. También había prácticas injustas y diferentes condiciones para los criadores de acuicultura dentro del mismo Estado miembro. La acuicultura debía de tener una política específica al mismo nivel que la pesca. Por lo tanto, la política debía reformarse para priorizar la acuicultura. En términos de investigación e innovación, los operadores de Europa Oriental y Meridional habían estado en desventaja, como las disparidades en la financiación. Por lo general, la legislación se basaba primero en las especies terrestres —por ejemplo, en el bienestar animal—, lo que implicaba que la política de acuicultura siempre iba por detrás de la política agrícola. </w:t>
      </w:r>
    </w:p>
    <w:p w14:paraId="50413E78" w14:textId="7FFFD8BF" w:rsidR="002A29EB" w:rsidRPr="004F7C50" w:rsidRDefault="002A29EB" w:rsidP="00117C99">
      <w:pPr>
        <w:pStyle w:val="Standard"/>
        <w:spacing w:after="240" w:line="276" w:lineRule="auto"/>
        <w:jc w:val="both"/>
        <w:rPr>
          <w:color w:val="auto"/>
          <w:sz w:val="24"/>
          <w:szCs w:val="24"/>
        </w:rPr>
      </w:pPr>
      <w:r w:rsidRPr="004F7C50">
        <w:rPr>
          <w:color w:val="auto"/>
          <w:sz w:val="24"/>
        </w:rPr>
        <w:t xml:space="preserve">La presidenta resumió la segunda parte del Diálogo de implementación, que se centraba en la producción orgánica y las especies foráneas. Los participantes destacaron los diferentes enfoques de los Estados </w:t>
      </w:r>
      <w:r w:rsidRPr="004F7C50">
        <w:rPr>
          <w:color w:val="auto"/>
          <w:sz w:val="24"/>
        </w:rPr>
        <w:lastRenderedPageBreak/>
        <w:t xml:space="preserve">miembro. La acuicultura orgánica seguía siendo un </w:t>
      </w:r>
      <w:r w:rsidR="002319CD" w:rsidRPr="004F7C50">
        <w:rPr>
          <w:color w:val="auto"/>
          <w:sz w:val="24"/>
        </w:rPr>
        <w:t>nicho</w:t>
      </w:r>
      <w:r w:rsidRPr="004F7C50">
        <w:rPr>
          <w:color w:val="auto"/>
          <w:sz w:val="24"/>
        </w:rPr>
        <w:t xml:space="preserve"> y, debido a los costes y los altos precios, se esperaba que la situación no variara. La producción orgánica solo era un negocio importante en Irlanda, ya que se promovía tanto con políticas como con un mercado </w:t>
      </w:r>
      <w:r w:rsidR="002319CD" w:rsidRPr="004F7C50">
        <w:rPr>
          <w:color w:val="auto"/>
          <w:sz w:val="24"/>
        </w:rPr>
        <w:t>sólido</w:t>
      </w:r>
      <w:r w:rsidRPr="004F7C50">
        <w:rPr>
          <w:color w:val="auto"/>
          <w:sz w:val="24"/>
        </w:rPr>
        <w:t xml:space="preserve">, especialmente para la producción de salmón. En general, el mercado no ofrecía compensación por los costes de los productos orgánicos. por lo tanto, el crecimiento potencial del sector dependía de la acuicultura intensiva, centrándose en el mercado de especies específicas. Dado que las certificaciones orgánicas guardaban relación principalmente con la calidad del agua, resultaban difíciles de explicar a los consumidores. Estos últimos tendían a confundir la producción orgánica y la sostenibilidad.  Dado que la UE no exigía que se recopilaran y entregaran datos sobre la producción orgánica, faltaba información cuantitativa sobre el crecimiento. La UE debía priorizar el volumen de producción en vez de una producción orgánica que era pequeña y cara. Las realidades del mercado y la demanda de productos —incluido el poder adquisitivo— debían tenerse en cuenta cuando se establecían estrategias y legislación. Además, los participantes destacaron varias dificultades relacionadas con las especies invasoras, como el cangrejo azul en Italia. </w:t>
      </w:r>
    </w:p>
    <w:p w14:paraId="732DDABC" w14:textId="302C5980" w:rsidR="006C385F" w:rsidRPr="004F7C50" w:rsidRDefault="006C385F" w:rsidP="006C385F">
      <w:pPr>
        <w:pStyle w:val="Standard"/>
        <w:spacing w:after="240" w:line="276" w:lineRule="auto"/>
        <w:jc w:val="both"/>
        <w:rPr>
          <w:color w:val="auto"/>
          <w:sz w:val="24"/>
          <w:szCs w:val="24"/>
        </w:rPr>
      </w:pPr>
      <w:r w:rsidRPr="004F7C50">
        <w:rPr>
          <w:color w:val="auto"/>
          <w:sz w:val="24"/>
        </w:rPr>
        <w:t xml:space="preserve">La presidenta informó de que, en sus palabras de clausura, el comisario Kadis instó a los participantes a hacer sus contribuciones por escrito antes de mediados de julio. </w:t>
      </w:r>
      <w:r w:rsidR="002319CD" w:rsidRPr="004F7C50">
        <w:rPr>
          <w:color w:val="auto"/>
          <w:sz w:val="24"/>
        </w:rPr>
        <w:t>Los</w:t>
      </w:r>
      <w:r w:rsidRPr="004F7C50">
        <w:rPr>
          <w:color w:val="auto"/>
          <w:sz w:val="24"/>
        </w:rPr>
        <w:t xml:space="preserve"> animó a que fueran lo más específicos que pudieran y que indicaran los elementos legislativos clave que debían enmendarse. El comisario expresó su aprecio por las opiniones recibidas e hizo hincapié en que se tendrían en cuenta en el contexto de la evaluación de la Política Pesquera Común y la preparación de la Visión 2040. </w:t>
      </w:r>
    </w:p>
    <w:p w14:paraId="718CFE62" w14:textId="35789F70" w:rsidR="00B21F66" w:rsidRPr="004F7C50" w:rsidRDefault="006C385F" w:rsidP="006C385F">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Preparación de la próxima reunión entre Consejos Consultivos (Bruselas, 15 de julio de 2026)</w:t>
      </w:r>
    </w:p>
    <w:p w14:paraId="09CC17E8" w14:textId="719E2F5D" w:rsidR="006C385F" w:rsidRPr="004F7C50" w:rsidRDefault="000A7F82" w:rsidP="00117C99">
      <w:pPr>
        <w:pStyle w:val="Standard"/>
        <w:spacing w:after="240" w:line="276" w:lineRule="auto"/>
        <w:jc w:val="both"/>
        <w:rPr>
          <w:color w:val="auto"/>
          <w:sz w:val="24"/>
          <w:szCs w:val="24"/>
        </w:rPr>
      </w:pPr>
      <w:r w:rsidRPr="004F7C50">
        <w:rPr>
          <w:color w:val="auto"/>
          <w:sz w:val="24"/>
        </w:rPr>
        <w:t xml:space="preserve">El </w:t>
      </w:r>
      <w:r w:rsidRPr="004F7C50">
        <w:rPr>
          <w:color w:val="auto"/>
          <w:sz w:val="24"/>
          <w:u w:val="single"/>
        </w:rPr>
        <w:t>secretario general</w:t>
      </w:r>
      <w:r w:rsidRPr="004F7C50">
        <w:rPr>
          <w:color w:val="auto"/>
          <w:sz w:val="24"/>
        </w:rPr>
        <w:t xml:space="preserve"> informó de que la próxima reunión entre Consejos Consultivos se celebraría el 15 de julio de 2026 en Bruselas. El MAC estaría representado por la presidenta, los vicepresidentes, el presidente del grupo de trabajo 2 y él mismo. El orden del día incluiría un intercambio con la directora general Vitcheva sobre la evaluación de la Política Pesquera Común, y un intercambio con el comisario Kadis sobre las nuevas Directrices sobre el funcionamiento de los Consejos Consultivos, así como novedades sobre varios elementos políticos, como las Estrategias de la UE para las Islas y las Comunidades Costeras. El 16 de julio de 2026, se celebraría un taller organizado conjuntamente por varios Consejos Consultivos y DG MARE. El secretario general hizo una descripción general del borrador del mandato para la reunión. Informó de que se lanzaría una consulta escrita que permitiría a los miembros transmitir su opinión.  </w:t>
      </w:r>
    </w:p>
    <w:p w14:paraId="431F7418" w14:textId="41A2AE41" w:rsidR="00C31235" w:rsidRPr="004F7C50" w:rsidRDefault="00EF401B" w:rsidP="00C31235">
      <w:pPr>
        <w:pStyle w:val="Standard"/>
        <w:spacing w:after="240"/>
        <w:ind w:left="720"/>
        <w:jc w:val="both"/>
        <w:rPr>
          <w:b/>
          <w:bCs/>
          <w:color w:val="28B2A2"/>
          <w:sz w:val="24"/>
          <w:szCs w:val="24"/>
        </w:rPr>
      </w:pPr>
      <w:r w:rsidRPr="004F7C50">
        <w:rPr>
          <w:b/>
          <w:color w:val="28B2A2"/>
          <w:sz w:val="24"/>
        </w:rPr>
        <w:t>Ruegos y preguntas</w:t>
      </w:r>
    </w:p>
    <w:p w14:paraId="28B598F5" w14:textId="489D11D9" w:rsidR="00C31235" w:rsidRPr="004F7C50" w:rsidRDefault="00C31235" w:rsidP="00C31235">
      <w:pPr>
        <w:pStyle w:val="ListParagraph"/>
        <w:numPr>
          <w:ilvl w:val="0"/>
          <w:numId w:val="6"/>
        </w:numPr>
        <w:jc w:val="both"/>
        <w:rPr>
          <w:rFonts w:ascii="Calibri" w:eastAsia="SimSun" w:hAnsi="Calibri" w:cs="Times New Roman"/>
          <w:b/>
          <w:bCs/>
          <w:kern w:val="3"/>
          <w:sz w:val="24"/>
          <w:szCs w:val="24"/>
        </w:rPr>
      </w:pPr>
      <w:r w:rsidRPr="004F7C50">
        <w:rPr>
          <w:rFonts w:ascii="Calibri" w:hAnsi="Calibri"/>
          <w:b/>
          <w:sz w:val="24"/>
        </w:rPr>
        <w:t xml:space="preserve">Frecuencia de los mensajes informativos enviados por correo electrónico por la secretaría </w:t>
      </w:r>
    </w:p>
    <w:p w14:paraId="6649E3B3" w14:textId="45183F0C" w:rsidR="00C31235" w:rsidRPr="004F7C50" w:rsidRDefault="00882C5A" w:rsidP="00882C5A">
      <w:pPr>
        <w:pStyle w:val="Standard"/>
        <w:spacing w:after="240" w:line="276" w:lineRule="auto"/>
        <w:jc w:val="both"/>
        <w:rPr>
          <w:color w:val="auto"/>
          <w:sz w:val="24"/>
          <w:szCs w:val="24"/>
        </w:rPr>
      </w:pPr>
      <w:r w:rsidRPr="004F7C50">
        <w:rPr>
          <w:color w:val="auto"/>
          <w:sz w:val="24"/>
          <w:u w:val="single"/>
        </w:rPr>
        <w:t>Laura Harpøth (EFFOP)</w:t>
      </w:r>
      <w:r w:rsidRPr="004F7C50">
        <w:rPr>
          <w:color w:val="auto"/>
          <w:sz w:val="24"/>
        </w:rPr>
        <w:t xml:space="preserve"> indicó que los miembros recibían frecuentemente mensajes informativos por correo electrónico de la secretaría que resultaban difíciles de seguir. La Srta. Harpøth preguntó sobre la posibilidad de compilar la información en un mensaje por correo electrónico semanal. </w:t>
      </w:r>
    </w:p>
    <w:p w14:paraId="5176DC00" w14:textId="7CCCED17" w:rsidR="00882C5A" w:rsidRPr="004F7C50" w:rsidRDefault="00C31235" w:rsidP="00C31235">
      <w:pPr>
        <w:pStyle w:val="Standard"/>
        <w:spacing w:after="240" w:line="276" w:lineRule="auto"/>
        <w:jc w:val="both"/>
        <w:rPr>
          <w:color w:val="auto"/>
          <w:sz w:val="24"/>
          <w:szCs w:val="24"/>
        </w:rPr>
      </w:pPr>
      <w:r w:rsidRPr="004F7C50">
        <w:rPr>
          <w:color w:val="auto"/>
          <w:sz w:val="24"/>
        </w:rPr>
        <w:lastRenderedPageBreak/>
        <w:t xml:space="preserve">El </w:t>
      </w:r>
      <w:r w:rsidRPr="004F7C50">
        <w:rPr>
          <w:color w:val="auto"/>
          <w:sz w:val="24"/>
          <w:u w:val="single"/>
        </w:rPr>
        <w:t>secretario general</w:t>
      </w:r>
      <w:r w:rsidRPr="004F7C50">
        <w:rPr>
          <w:color w:val="auto"/>
          <w:sz w:val="24"/>
        </w:rPr>
        <w:t xml:space="preserve"> expresó su disponibilidad para cambiar el enfoque.</w:t>
      </w:r>
    </w:p>
    <w:p w14:paraId="0ED69083" w14:textId="5C25B1FB" w:rsidR="00B80CE6" w:rsidRPr="004F7C50" w:rsidRDefault="00450168" w:rsidP="00C31235">
      <w:pPr>
        <w:rPr>
          <w:b/>
          <w:bCs/>
          <w:color w:val="28B2A2"/>
          <w:sz w:val="24"/>
          <w:szCs w:val="24"/>
        </w:rPr>
      </w:pPr>
      <w:r w:rsidRPr="004F7C50">
        <w:br w:type="page"/>
      </w:r>
      <w:r w:rsidRPr="004F7C50">
        <w:rPr>
          <w:b/>
          <w:color w:val="28B2A2"/>
          <w:sz w:val="24"/>
        </w:rPr>
        <w:lastRenderedPageBreak/>
        <w:t xml:space="preserve">Resumen de puntos de acción </w:t>
      </w:r>
    </w:p>
    <w:p w14:paraId="6F7FC875" w14:textId="3D267044" w:rsidR="00B80CE6" w:rsidRPr="004F7C50" w:rsidRDefault="00B80CE6" w:rsidP="00B80CE6">
      <w:pPr>
        <w:pStyle w:val="ListParagraph"/>
        <w:numPr>
          <w:ilvl w:val="0"/>
          <w:numId w:val="21"/>
        </w:numPr>
        <w:rPr>
          <w:rFonts w:ascii="Calibri" w:eastAsia="SimSun" w:hAnsi="Calibri" w:cs="Times New Roman"/>
          <w:kern w:val="3"/>
          <w:sz w:val="24"/>
          <w:szCs w:val="24"/>
          <w:u w:val="single"/>
        </w:rPr>
      </w:pPr>
      <w:r w:rsidRPr="004F7C50">
        <w:rPr>
          <w:rFonts w:ascii="Calibri" w:hAnsi="Calibri"/>
          <w:sz w:val="24"/>
          <w:u w:val="single"/>
        </w:rPr>
        <w:t>Cuotas de membresía</w:t>
      </w:r>
    </w:p>
    <w:p w14:paraId="41C32A70" w14:textId="40DC1968" w:rsidR="000E228C" w:rsidRPr="004F7C50" w:rsidRDefault="004E7C8A" w:rsidP="000E228C">
      <w:pPr>
        <w:pStyle w:val="Standard"/>
        <w:numPr>
          <w:ilvl w:val="1"/>
          <w:numId w:val="21"/>
        </w:numPr>
        <w:spacing w:after="240"/>
        <w:jc w:val="both"/>
        <w:rPr>
          <w:color w:val="auto"/>
          <w:sz w:val="24"/>
          <w:szCs w:val="24"/>
          <w:u w:val="single"/>
        </w:rPr>
      </w:pPr>
      <w:r w:rsidRPr="004F7C50">
        <w:rPr>
          <w:color w:val="auto"/>
          <w:sz w:val="24"/>
        </w:rPr>
        <w:t>La actualización de las cuotas de membresía se reflejará en el próximo presupuesto anual y se presentará para su aprobación en Junta General.</w:t>
      </w:r>
    </w:p>
    <w:p w14:paraId="5EC257B4" w14:textId="6E7E4F52" w:rsidR="004E7C8A" w:rsidRPr="004F7C50" w:rsidRDefault="004E7C8A" w:rsidP="004E7C8A">
      <w:pPr>
        <w:pStyle w:val="ListParagraph"/>
        <w:numPr>
          <w:ilvl w:val="0"/>
          <w:numId w:val="21"/>
        </w:numPr>
        <w:rPr>
          <w:rFonts w:ascii="Calibri" w:eastAsia="SimSun" w:hAnsi="Calibri" w:cs="Times New Roman"/>
          <w:kern w:val="3"/>
          <w:sz w:val="24"/>
          <w:szCs w:val="24"/>
          <w:u w:val="single"/>
        </w:rPr>
      </w:pPr>
      <w:r w:rsidRPr="004F7C50">
        <w:rPr>
          <w:rFonts w:ascii="Calibri" w:hAnsi="Calibri"/>
          <w:sz w:val="24"/>
          <w:u w:val="single"/>
        </w:rPr>
        <w:t>Programa de trabajo para el año 11 (2026-2027)</w:t>
      </w:r>
    </w:p>
    <w:p w14:paraId="60AB7D97" w14:textId="43DB8CD4" w:rsidR="004E7C8A" w:rsidRPr="004F7C50" w:rsidRDefault="004E7C8A" w:rsidP="004E7C8A">
      <w:pPr>
        <w:pStyle w:val="Standard"/>
        <w:numPr>
          <w:ilvl w:val="1"/>
          <w:numId w:val="21"/>
        </w:numPr>
        <w:spacing w:after="240"/>
        <w:jc w:val="both"/>
        <w:rPr>
          <w:color w:val="auto"/>
          <w:sz w:val="24"/>
          <w:szCs w:val="24"/>
          <w:u w:val="single"/>
        </w:rPr>
      </w:pPr>
      <w:r w:rsidRPr="004F7C50">
        <w:rPr>
          <w:color w:val="auto"/>
          <w:sz w:val="24"/>
        </w:rPr>
        <w:t>El Secretariado procederá a la entrega formal del borrador del programa de trabajo y del borrador del presupuesto a la Comisión Europea.</w:t>
      </w:r>
    </w:p>
    <w:p w14:paraId="3CD16A71" w14:textId="2EC140C9" w:rsidR="004E7C8A" w:rsidRPr="004F7C50" w:rsidRDefault="002319CD" w:rsidP="004E7C8A">
      <w:pPr>
        <w:pStyle w:val="ListParagraph"/>
        <w:numPr>
          <w:ilvl w:val="0"/>
          <w:numId w:val="21"/>
        </w:numPr>
        <w:rPr>
          <w:rFonts w:ascii="Calibri" w:eastAsia="SimSun" w:hAnsi="Calibri" w:cs="Times New Roman"/>
          <w:kern w:val="3"/>
          <w:sz w:val="24"/>
          <w:szCs w:val="24"/>
          <w:u w:val="single"/>
        </w:rPr>
      </w:pPr>
      <w:r w:rsidRPr="004F7C50">
        <w:rPr>
          <w:rFonts w:ascii="Calibri" w:hAnsi="Calibri"/>
          <w:sz w:val="24"/>
          <w:u w:val="single"/>
        </w:rPr>
        <w:t>Secretaría</w:t>
      </w:r>
    </w:p>
    <w:p w14:paraId="48ED329D" w14:textId="548562D8" w:rsidR="004E7C8A" w:rsidRPr="004F7C50" w:rsidRDefault="004E7C8A" w:rsidP="004E7C8A">
      <w:pPr>
        <w:pStyle w:val="Standard"/>
        <w:numPr>
          <w:ilvl w:val="1"/>
          <w:numId w:val="21"/>
        </w:numPr>
        <w:spacing w:after="240"/>
        <w:jc w:val="both"/>
        <w:rPr>
          <w:color w:val="auto"/>
          <w:sz w:val="24"/>
          <w:szCs w:val="24"/>
        </w:rPr>
      </w:pPr>
      <w:r w:rsidRPr="004F7C50">
        <w:rPr>
          <w:color w:val="auto"/>
          <w:sz w:val="24"/>
        </w:rPr>
        <w:t xml:space="preserve">Se publicará un procedimiento de licitación para contratar servicios de apoyo administrativo y financiero para el periodo entre el 1 de octubre de 2026 y el 30 de septiembre de 2029. </w:t>
      </w:r>
    </w:p>
    <w:p w14:paraId="06A766BE" w14:textId="2B89FB84" w:rsidR="004E7C8A" w:rsidRPr="004F7C50" w:rsidRDefault="004E7C8A" w:rsidP="004E7C8A">
      <w:pPr>
        <w:pStyle w:val="ListParagraph"/>
        <w:numPr>
          <w:ilvl w:val="0"/>
          <w:numId w:val="21"/>
        </w:numPr>
        <w:rPr>
          <w:rFonts w:ascii="Calibri" w:eastAsia="SimSun" w:hAnsi="Calibri" w:cs="Times New Roman"/>
          <w:kern w:val="3"/>
          <w:sz w:val="24"/>
          <w:szCs w:val="24"/>
          <w:u w:val="single"/>
        </w:rPr>
      </w:pPr>
      <w:r w:rsidRPr="004F7C50">
        <w:rPr>
          <w:rFonts w:ascii="Calibri" w:hAnsi="Calibri"/>
          <w:sz w:val="24"/>
          <w:u w:val="single"/>
        </w:rPr>
        <w:t>Representación externa</w:t>
      </w:r>
    </w:p>
    <w:p w14:paraId="6DBEBC45" w14:textId="70052032" w:rsidR="004E7C8A" w:rsidRPr="004F7C50" w:rsidRDefault="004E7C8A" w:rsidP="004E7C8A">
      <w:pPr>
        <w:pStyle w:val="Standard"/>
        <w:numPr>
          <w:ilvl w:val="1"/>
          <w:numId w:val="21"/>
        </w:numPr>
        <w:spacing w:after="240"/>
        <w:jc w:val="both"/>
        <w:rPr>
          <w:color w:val="auto"/>
          <w:sz w:val="24"/>
          <w:szCs w:val="24"/>
        </w:rPr>
      </w:pPr>
      <w:r w:rsidRPr="004F7C50">
        <w:rPr>
          <w:color w:val="auto"/>
          <w:sz w:val="24"/>
        </w:rPr>
        <w:t xml:space="preserve">La secretaría enviará una consulta escrita para la aprobación del mandato para la reunión entre Consejos Consultivos del 15 de julio de 2026. </w:t>
      </w:r>
    </w:p>
    <w:p w14:paraId="79747CF0" w14:textId="0593FD7F" w:rsidR="004E7C8A" w:rsidRPr="004F7C50" w:rsidRDefault="004E7C8A" w:rsidP="004E7C8A">
      <w:pPr>
        <w:pStyle w:val="Standard"/>
        <w:numPr>
          <w:ilvl w:val="0"/>
          <w:numId w:val="21"/>
        </w:numPr>
        <w:spacing w:after="240"/>
        <w:jc w:val="both"/>
        <w:rPr>
          <w:color w:val="auto"/>
          <w:sz w:val="24"/>
          <w:szCs w:val="24"/>
          <w:u w:val="single"/>
        </w:rPr>
      </w:pPr>
      <w:r w:rsidRPr="004F7C50">
        <w:rPr>
          <w:color w:val="auto"/>
          <w:sz w:val="24"/>
          <w:u w:val="single"/>
        </w:rPr>
        <w:t>Ruegos y preguntas</w:t>
      </w:r>
    </w:p>
    <w:p w14:paraId="0EB60BC0" w14:textId="564F4480" w:rsidR="004E7C8A" w:rsidRPr="004F7C50" w:rsidRDefault="004E7C8A" w:rsidP="004E7C8A">
      <w:pPr>
        <w:pStyle w:val="Standard"/>
        <w:numPr>
          <w:ilvl w:val="1"/>
          <w:numId w:val="21"/>
        </w:numPr>
        <w:spacing w:after="240"/>
        <w:jc w:val="both"/>
        <w:rPr>
          <w:color w:val="auto"/>
          <w:sz w:val="24"/>
          <w:szCs w:val="24"/>
        </w:rPr>
      </w:pPr>
      <w:r w:rsidRPr="004F7C50">
        <w:rPr>
          <w:color w:val="auto"/>
          <w:sz w:val="24"/>
        </w:rPr>
        <w:t xml:space="preserve">La secretaría revisará la frecuencia de los mensajes informativos por correo electrónico que se envían a los miembros. </w:t>
      </w:r>
    </w:p>
    <w:p w14:paraId="19A4855D" w14:textId="77777777" w:rsidR="004E7C8A" w:rsidRPr="004F7C50" w:rsidRDefault="004E7C8A" w:rsidP="004E7C8A">
      <w:pPr>
        <w:pStyle w:val="Standard"/>
        <w:spacing w:after="240"/>
        <w:jc w:val="both"/>
        <w:rPr>
          <w:color w:val="auto"/>
          <w:sz w:val="24"/>
          <w:szCs w:val="24"/>
        </w:rPr>
      </w:pPr>
    </w:p>
    <w:p w14:paraId="3BC95AB6" w14:textId="77777777" w:rsidR="004E7C8A" w:rsidRPr="004F7C50" w:rsidRDefault="004E7C8A" w:rsidP="004E7C8A">
      <w:pPr>
        <w:pStyle w:val="Standard"/>
        <w:spacing w:after="240"/>
        <w:jc w:val="both"/>
        <w:rPr>
          <w:color w:val="auto"/>
          <w:sz w:val="24"/>
          <w:szCs w:val="24"/>
        </w:rPr>
      </w:pPr>
    </w:p>
    <w:p w14:paraId="24C2312A" w14:textId="77777777" w:rsidR="004E7C8A" w:rsidRPr="004F7C50" w:rsidRDefault="004E7C8A" w:rsidP="004E7C8A">
      <w:pPr>
        <w:pStyle w:val="Standard"/>
        <w:spacing w:after="240"/>
        <w:jc w:val="both"/>
        <w:rPr>
          <w:color w:val="auto"/>
          <w:sz w:val="24"/>
          <w:szCs w:val="24"/>
          <w:u w:val="single"/>
        </w:rPr>
      </w:pPr>
    </w:p>
    <w:p w14:paraId="52A2469D" w14:textId="77777777" w:rsidR="00763E69" w:rsidRPr="004F7C50" w:rsidRDefault="00763E69" w:rsidP="00763E69">
      <w:pPr>
        <w:rPr>
          <w:rFonts w:ascii="Calibri" w:eastAsia="SimSun" w:hAnsi="Calibri" w:cs="Times New Roman"/>
          <w:kern w:val="3"/>
          <w:sz w:val="24"/>
          <w:szCs w:val="24"/>
          <w:lang w:eastAsia="en-GB"/>
        </w:rPr>
      </w:pPr>
    </w:p>
    <w:p w14:paraId="52CED8D8" w14:textId="77777777" w:rsidR="007004B3" w:rsidRPr="004F7C50" w:rsidRDefault="007004B3">
      <w:pPr>
        <w:rPr>
          <w:b/>
          <w:bCs/>
          <w:color w:val="28B2A2"/>
          <w:sz w:val="24"/>
          <w:szCs w:val="24"/>
        </w:rPr>
      </w:pPr>
      <w:r w:rsidRPr="004F7C50">
        <w:br w:type="page"/>
      </w:r>
    </w:p>
    <w:p w14:paraId="0DFD85FC" w14:textId="39A807C8" w:rsidR="004F7C50" w:rsidRPr="004F7C50" w:rsidRDefault="004F7C50" w:rsidP="004F7C50">
      <w:pPr>
        <w:rPr>
          <w:b/>
          <w:bCs/>
          <w:color w:val="28B2A2"/>
          <w:sz w:val="24"/>
          <w:szCs w:val="24"/>
        </w:rPr>
      </w:pPr>
      <w:r>
        <w:rPr>
          <w:b/>
          <w:bCs/>
          <w:color w:val="28B2A2"/>
          <w:sz w:val="24"/>
          <w:szCs w:val="24"/>
        </w:rPr>
        <w:lastRenderedPageBreak/>
        <w:t>Lista de participantes</w:t>
      </w:r>
    </w:p>
    <w:tbl>
      <w:tblPr>
        <w:tblStyle w:val="TableGrid"/>
        <w:tblW w:w="5003" w:type="pct"/>
        <w:tblInd w:w="-5" w:type="dxa"/>
        <w:tblLook w:val="04A0" w:firstRow="1" w:lastRow="0" w:firstColumn="1" w:lastColumn="0" w:noHBand="0" w:noVBand="1"/>
      </w:tblPr>
      <w:tblGrid>
        <w:gridCol w:w="3402"/>
        <w:gridCol w:w="5246"/>
        <w:gridCol w:w="1814"/>
      </w:tblGrid>
      <w:tr w:rsidR="004F7C50" w:rsidRPr="004F7C50" w14:paraId="1B45C9FD" w14:textId="77777777" w:rsidTr="00500425">
        <w:trPr>
          <w:cantSplit/>
          <w:trHeight w:val="432"/>
          <w:tblHeader/>
        </w:trPr>
        <w:tc>
          <w:tcPr>
            <w:tcW w:w="1626" w:type="pct"/>
            <w:shd w:val="clear" w:color="auto" w:fill="D9D9D9" w:themeFill="background1" w:themeFillShade="D9"/>
            <w:vAlign w:val="center"/>
          </w:tcPr>
          <w:p w14:paraId="5209C46D" w14:textId="264D579A" w:rsidR="004F7C50" w:rsidRPr="004F7C50" w:rsidRDefault="004F7C50" w:rsidP="00500425">
            <w:pPr>
              <w:pStyle w:val="Standard"/>
              <w:spacing w:after="240"/>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Representante</w:t>
            </w:r>
          </w:p>
        </w:tc>
        <w:tc>
          <w:tcPr>
            <w:tcW w:w="2507" w:type="pct"/>
            <w:shd w:val="clear" w:color="auto" w:fill="D9D9D9" w:themeFill="background1" w:themeFillShade="D9"/>
            <w:vAlign w:val="center"/>
          </w:tcPr>
          <w:p w14:paraId="5BC1660F" w14:textId="64FCE00A" w:rsidR="004F7C50" w:rsidRPr="004F7C50" w:rsidRDefault="004F7C50" w:rsidP="00500425">
            <w:pPr>
              <w:pStyle w:val="Standard"/>
              <w:spacing w:after="240"/>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Organización </w:t>
            </w:r>
          </w:p>
        </w:tc>
        <w:tc>
          <w:tcPr>
            <w:tcW w:w="867" w:type="pct"/>
            <w:shd w:val="clear" w:color="auto" w:fill="D9D9D9" w:themeFill="background1" w:themeFillShade="D9"/>
            <w:vAlign w:val="center"/>
          </w:tcPr>
          <w:p w14:paraId="25752CD6" w14:textId="1F5FA1E6" w:rsidR="004F7C50" w:rsidRPr="004F7C50" w:rsidRDefault="004F7C50" w:rsidP="00500425">
            <w:pPr>
              <w:pStyle w:val="Standard"/>
              <w:spacing w:after="240"/>
              <w:jc w:val="both"/>
              <w:rPr>
                <w:rFonts w:asciiTheme="minorHAnsi" w:hAnsiTheme="minorHAnsi" w:cstheme="minorHAnsi"/>
                <w:b/>
                <w:bCs/>
                <w:color w:val="auto"/>
                <w:sz w:val="24"/>
                <w:szCs w:val="24"/>
              </w:rPr>
            </w:pPr>
            <w:r>
              <w:rPr>
                <w:rFonts w:asciiTheme="minorHAnsi" w:hAnsiTheme="minorHAnsi" w:cstheme="minorHAnsi"/>
                <w:b/>
                <w:bCs/>
                <w:color w:val="auto"/>
                <w:sz w:val="24"/>
                <w:szCs w:val="24"/>
              </w:rPr>
              <w:t>Función</w:t>
            </w:r>
          </w:p>
        </w:tc>
      </w:tr>
      <w:tr w:rsidR="004F7C50" w:rsidRPr="004F7C50" w14:paraId="7F870396" w14:textId="77777777" w:rsidTr="00BF0330">
        <w:trPr>
          <w:cantSplit/>
          <w:trHeight w:val="432"/>
        </w:trPr>
        <w:tc>
          <w:tcPr>
            <w:tcW w:w="1626" w:type="pct"/>
            <w:shd w:val="clear" w:color="auto" w:fill="FFFFFF" w:themeFill="background1"/>
            <w:vAlign w:val="center"/>
          </w:tcPr>
          <w:p w14:paraId="5F62A3E2"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Alessandro Manghisi</w:t>
            </w:r>
          </w:p>
        </w:tc>
        <w:tc>
          <w:tcPr>
            <w:tcW w:w="2507" w:type="pct"/>
            <w:shd w:val="clear" w:color="auto" w:fill="FFFFFF" w:themeFill="background1"/>
            <w:vAlign w:val="center"/>
          </w:tcPr>
          <w:p w14:paraId="6635FF0C"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AQUACULTURE STEWARDSHIP COUNCIL (ASC)</w:t>
            </w:r>
          </w:p>
        </w:tc>
        <w:tc>
          <w:tcPr>
            <w:tcW w:w="867" w:type="pct"/>
            <w:shd w:val="clear" w:color="auto" w:fill="FFFFFF" w:themeFill="background1"/>
          </w:tcPr>
          <w:p w14:paraId="4086696B" w14:textId="6D42E3E9" w:rsidR="004F7C50" w:rsidRPr="004F7C50" w:rsidRDefault="004F7C50" w:rsidP="004F7C50">
            <w:pPr>
              <w:pStyle w:val="Standard"/>
              <w:spacing w:after="240"/>
              <w:rPr>
                <w:rFonts w:asciiTheme="minorHAnsi" w:hAnsiTheme="minorHAnsi" w:cstheme="minorHAnsi"/>
                <w:color w:val="000000"/>
                <w:sz w:val="24"/>
                <w:szCs w:val="24"/>
              </w:rPr>
            </w:pPr>
            <w:r w:rsidRPr="006323AC">
              <w:rPr>
                <w:rFonts w:asciiTheme="minorHAnsi" w:hAnsiTheme="minorHAnsi" w:cstheme="minorHAnsi"/>
                <w:color w:val="000000"/>
                <w:sz w:val="24"/>
                <w:szCs w:val="24"/>
              </w:rPr>
              <w:t>Miembro</w:t>
            </w:r>
          </w:p>
        </w:tc>
      </w:tr>
      <w:tr w:rsidR="004F7C50" w:rsidRPr="004F7C50" w14:paraId="7526D8BF" w14:textId="77777777" w:rsidTr="00BF0330">
        <w:trPr>
          <w:cantSplit/>
          <w:trHeight w:val="432"/>
        </w:trPr>
        <w:tc>
          <w:tcPr>
            <w:tcW w:w="1626" w:type="pct"/>
            <w:shd w:val="clear" w:color="auto" w:fill="FFFFFF" w:themeFill="background1"/>
            <w:vAlign w:val="center"/>
          </w:tcPr>
          <w:p w14:paraId="79A189E6"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Angeles Longa</w:t>
            </w:r>
          </w:p>
        </w:tc>
        <w:tc>
          <w:tcPr>
            <w:tcW w:w="2507" w:type="pct"/>
            <w:shd w:val="clear" w:color="auto" w:fill="FFFFFF" w:themeFill="background1"/>
            <w:vAlign w:val="center"/>
          </w:tcPr>
          <w:p w14:paraId="453438DC"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EUROPEAN MOLLUSCS PRODUCERS ASSOCIATION</w:t>
            </w:r>
          </w:p>
        </w:tc>
        <w:tc>
          <w:tcPr>
            <w:tcW w:w="867" w:type="pct"/>
            <w:shd w:val="clear" w:color="auto" w:fill="FFFFFF" w:themeFill="background1"/>
          </w:tcPr>
          <w:p w14:paraId="7F7636F2" w14:textId="1CE5A02D" w:rsidR="004F7C50" w:rsidRPr="004F7C50" w:rsidRDefault="004F7C50" w:rsidP="004F7C50">
            <w:pPr>
              <w:pStyle w:val="Standard"/>
              <w:spacing w:after="240"/>
              <w:rPr>
                <w:rFonts w:asciiTheme="minorHAnsi" w:hAnsiTheme="minorHAnsi" w:cstheme="minorHAnsi"/>
                <w:color w:val="000000"/>
                <w:sz w:val="24"/>
                <w:szCs w:val="24"/>
              </w:rPr>
            </w:pPr>
            <w:r w:rsidRPr="006323AC">
              <w:rPr>
                <w:rFonts w:asciiTheme="minorHAnsi" w:hAnsiTheme="minorHAnsi" w:cstheme="minorHAnsi"/>
                <w:color w:val="000000"/>
                <w:sz w:val="24"/>
                <w:szCs w:val="24"/>
              </w:rPr>
              <w:t>Miembro</w:t>
            </w:r>
          </w:p>
        </w:tc>
      </w:tr>
      <w:tr w:rsidR="004F7C50" w:rsidRPr="004F7C50" w14:paraId="4525BC4F" w14:textId="77777777" w:rsidTr="00BF0330">
        <w:trPr>
          <w:cantSplit/>
          <w:trHeight w:val="432"/>
        </w:trPr>
        <w:tc>
          <w:tcPr>
            <w:tcW w:w="1626" w:type="pct"/>
            <w:shd w:val="clear" w:color="auto" w:fill="FFFFFF" w:themeFill="background1"/>
            <w:vAlign w:val="center"/>
          </w:tcPr>
          <w:p w14:paraId="6E561AE2"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Anna Rokicka</w:t>
            </w:r>
          </w:p>
        </w:tc>
        <w:tc>
          <w:tcPr>
            <w:tcW w:w="2507" w:type="pct"/>
            <w:shd w:val="clear" w:color="auto" w:fill="FFFFFF" w:themeFill="background1"/>
            <w:vAlign w:val="center"/>
          </w:tcPr>
          <w:p w14:paraId="785247E9" w14:textId="77777777" w:rsidR="004F7C50" w:rsidRPr="009D1613" w:rsidRDefault="004F7C50" w:rsidP="004F7C50">
            <w:pPr>
              <w:pStyle w:val="Standard"/>
              <w:spacing w:after="240"/>
              <w:rPr>
                <w:rFonts w:asciiTheme="minorHAnsi" w:hAnsiTheme="minorHAnsi" w:cstheme="minorHAnsi"/>
                <w:color w:val="auto"/>
                <w:sz w:val="24"/>
                <w:szCs w:val="24"/>
                <w:lang w:val="en-US"/>
              </w:rPr>
            </w:pPr>
            <w:r w:rsidRPr="009D1613">
              <w:rPr>
                <w:rFonts w:asciiTheme="minorHAnsi" w:hAnsiTheme="minorHAnsi" w:cstheme="minorHAnsi"/>
                <w:color w:val="000000"/>
                <w:sz w:val="24"/>
                <w:szCs w:val="24"/>
                <w:lang w:val="en-US"/>
              </w:rPr>
              <w:t>POLISH ASSOCIATION OF FISH PROCESSORS</w:t>
            </w:r>
          </w:p>
        </w:tc>
        <w:tc>
          <w:tcPr>
            <w:tcW w:w="867" w:type="pct"/>
            <w:shd w:val="clear" w:color="auto" w:fill="FFFFFF" w:themeFill="background1"/>
          </w:tcPr>
          <w:p w14:paraId="079DA092" w14:textId="7049C553" w:rsidR="004F7C50" w:rsidRPr="004F7C50" w:rsidRDefault="004F7C50" w:rsidP="004F7C50">
            <w:pPr>
              <w:pStyle w:val="Standard"/>
              <w:spacing w:after="240"/>
              <w:rPr>
                <w:rFonts w:asciiTheme="minorHAnsi" w:hAnsiTheme="minorHAnsi" w:cstheme="minorHAnsi"/>
                <w:color w:val="000000"/>
                <w:sz w:val="24"/>
                <w:szCs w:val="24"/>
              </w:rPr>
            </w:pPr>
            <w:r w:rsidRPr="006323AC">
              <w:rPr>
                <w:rFonts w:asciiTheme="minorHAnsi" w:hAnsiTheme="minorHAnsi" w:cstheme="minorHAnsi"/>
                <w:color w:val="000000"/>
                <w:sz w:val="24"/>
                <w:szCs w:val="24"/>
              </w:rPr>
              <w:t>Miembro</w:t>
            </w:r>
          </w:p>
        </w:tc>
      </w:tr>
      <w:tr w:rsidR="004F7C50" w:rsidRPr="004F7C50" w14:paraId="239548D7" w14:textId="77777777" w:rsidTr="00BF0330">
        <w:trPr>
          <w:cantSplit/>
          <w:trHeight w:val="432"/>
        </w:trPr>
        <w:tc>
          <w:tcPr>
            <w:tcW w:w="1626" w:type="pct"/>
            <w:shd w:val="clear" w:color="auto" w:fill="FFFFFF" w:themeFill="background1"/>
            <w:vAlign w:val="center"/>
          </w:tcPr>
          <w:p w14:paraId="53B5F02D"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Bertrand Charron</w:t>
            </w:r>
          </w:p>
        </w:tc>
        <w:tc>
          <w:tcPr>
            <w:tcW w:w="2507" w:type="pct"/>
            <w:shd w:val="clear" w:color="auto" w:fill="FFFFFF" w:themeFill="background1"/>
            <w:vAlign w:val="center"/>
          </w:tcPr>
          <w:p w14:paraId="05CBC126"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AQUACULTURE STEWARDSHIP COUNCIL (ASC)</w:t>
            </w:r>
          </w:p>
        </w:tc>
        <w:tc>
          <w:tcPr>
            <w:tcW w:w="867" w:type="pct"/>
            <w:shd w:val="clear" w:color="auto" w:fill="FFFFFF" w:themeFill="background1"/>
          </w:tcPr>
          <w:p w14:paraId="74BD7743" w14:textId="524F94AB" w:rsidR="004F7C50" w:rsidRPr="004F7C50" w:rsidRDefault="004F7C50" w:rsidP="004F7C50">
            <w:pPr>
              <w:pStyle w:val="Standard"/>
              <w:spacing w:after="240"/>
              <w:rPr>
                <w:rFonts w:asciiTheme="minorHAnsi" w:hAnsiTheme="minorHAnsi" w:cstheme="minorHAnsi"/>
                <w:color w:val="000000"/>
                <w:sz w:val="24"/>
                <w:szCs w:val="24"/>
              </w:rPr>
            </w:pPr>
            <w:r w:rsidRPr="006323AC">
              <w:rPr>
                <w:rFonts w:asciiTheme="minorHAnsi" w:hAnsiTheme="minorHAnsi" w:cstheme="minorHAnsi"/>
                <w:color w:val="000000"/>
                <w:sz w:val="24"/>
                <w:szCs w:val="24"/>
              </w:rPr>
              <w:t>Miembro</w:t>
            </w:r>
          </w:p>
        </w:tc>
      </w:tr>
      <w:tr w:rsidR="004F7C50" w:rsidRPr="004F7C50" w14:paraId="61FE569D" w14:textId="77777777" w:rsidTr="00BF0330">
        <w:trPr>
          <w:cantSplit/>
          <w:trHeight w:val="432"/>
        </w:trPr>
        <w:tc>
          <w:tcPr>
            <w:tcW w:w="1626" w:type="pct"/>
            <w:shd w:val="clear" w:color="auto" w:fill="FFFFFF" w:themeFill="background1"/>
            <w:vAlign w:val="center"/>
          </w:tcPr>
          <w:p w14:paraId="3118318E"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Daniel Voces</w:t>
            </w:r>
          </w:p>
        </w:tc>
        <w:tc>
          <w:tcPr>
            <w:tcW w:w="2507" w:type="pct"/>
            <w:shd w:val="clear" w:color="auto" w:fill="FFFFFF" w:themeFill="background1"/>
            <w:vAlign w:val="center"/>
          </w:tcPr>
          <w:p w14:paraId="0831D913"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EUROPÊCHE</w:t>
            </w:r>
          </w:p>
        </w:tc>
        <w:tc>
          <w:tcPr>
            <w:tcW w:w="867" w:type="pct"/>
            <w:shd w:val="clear" w:color="auto" w:fill="FFFFFF" w:themeFill="background1"/>
          </w:tcPr>
          <w:p w14:paraId="7B616220" w14:textId="7C4DE79C" w:rsidR="004F7C50" w:rsidRPr="004F7C50" w:rsidRDefault="004F7C50" w:rsidP="004F7C50">
            <w:pPr>
              <w:pStyle w:val="Standard"/>
              <w:spacing w:after="240"/>
              <w:rPr>
                <w:rFonts w:asciiTheme="minorHAnsi" w:hAnsiTheme="minorHAnsi" w:cstheme="minorHAnsi"/>
                <w:color w:val="000000"/>
                <w:sz w:val="24"/>
                <w:szCs w:val="24"/>
              </w:rPr>
            </w:pPr>
            <w:r w:rsidRPr="006323AC">
              <w:rPr>
                <w:rFonts w:asciiTheme="minorHAnsi" w:hAnsiTheme="minorHAnsi" w:cstheme="minorHAnsi"/>
                <w:color w:val="000000"/>
                <w:sz w:val="24"/>
                <w:szCs w:val="24"/>
              </w:rPr>
              <w:t>Miembro</w:t>
            </w:r>
          </w:p>
        </w:tc>
      </w:tr>
      <w:tr w:rsidR="004F7C50" w:rsidRPr="004F7C50" w14:paraId="3EF8B49D" w14:textId="77777777" w:rsidTr="00500425">
        <w:trPr>
          <w:cantSplit/>
          <w:trHeight w:val="432"/>
        </w:trPr>
        <w:tc>
          <w:tcPr>
            <w:tcW w:w="1626" w:type="pct"/>
            <w:shd w:val="clear" w:color="auto" w:fill="FFFFFF" w:themeFill="background1"/>
            <w:vAlign w:val="center"/>
          </w:tcPr>
          <w:p w14:paraId="754DC1F0"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Dawlat Bik</w:t>
            </w:r>
          </w:p>
        </w:tc>
        <w:tc>
          <w:tcPr>
            <w:tcW w:w="2507" w:type="pct"/>
            <w:shd w:val="clear" w:color="auto" w:fill="FFFFFF" w:themeFill="background1"/>
            <w:vAlign w:val="center"/>
          </w:tcPr>
          <w:p w14:paraId="43160C86"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MARKET ADVISORY COUNCIL (MAC)</w:t>
            </w:r>
          </w:p>
        </w:tc>
        <w:tc>
          <w:tcPr>
            <w:tcW w:w="867" w:type="pct"/>
            <w:shd w:val="clear" w:color="auto" w:fill="FFFFFF" w:themeFill="background1"/>
            <w:vAlign w:val="center"/>
          </w:tcPr>
          <w:p w14:paraId="3FEB3FBB" w14:textId="47CBD7A3"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Secretaria</w:t>
            </w:r>
          </w:p>
        </w:tc>
      </w:tr>
      <w:tr w:rsidR="004F7C50" w:rsidRPr="004F7C50" w14:paraId="06C9FB9C" w14:textId="77777777" w:rsidTr="00500425">
        <w:trPr>
          <w:cantSplit/>
          <w:trHeight w:val="432"/>
        </w:trPr>
        <w:tc>
          <w:tcPr>
            <w:tcW w:w="1626" w:type="pct"/>
            <w:shd w:val="clear" w:color="auto" w:fill="FFFFFF" w:themeFill="background1"/>
            <w:vAlign w:val="center"/>
          </w:tcPr>
          <w:p w14:paraId="6635B00B" w14:textId="77777777" w:rsidR="004F7C50" w:rsidRPr="004F7C50" w:rsidRDefault="004F7C50" w:rsidP="00500425">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Emiel Brouckaert</w:t>
            </w:r>
          </w:p>
        </w:tc>
        <w:tc>
          <w:tcPr>
            <w:tcW w:w="2507" w:type="pct"/>
            <w:shd w:val="clear" w:color="auto" w:fill="FFFFFF" w:themeFill="background1"/>
            <w:vAlign w:val="center"/>
          </w:tcPr>
          <w:p w14:paraId="34AF7B00" w14:textId="77777777" w:rsidR="004F7C50" w:rsidRPr="004F7C50" w:rsidRDefault="004F7C50" w:rsidP="00500425">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EAPO</w:t>
            </w:r>
          </w:p>
        </w:tc>
        <w:tc>
          <w:tcPr>
            <w:tcW w:w="867" w:type="pct"/>
            <w:shd w:val="clear" w:color="auto" w:fill="FFFFFF" w:themeFill="background1"/>
            <w:vAlign w:val="center"/>
          </w:tcPr>
          <w:p w14:paraId="4B0E8325" w14:textId="4643A0C0"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w:t>
            </w:r>
            <w:r>
              <w:rPr>
                <w:rFonts w:asciiTheme="minorHAnsi" w:hAnsiTheme="minorHAnsi" w:cstheme="minorHAnsi"/>
                <w:color w:val="000000"/>
                <w:sz w:val="24"/>
                <w:szCs w:val="24"/>
              </w:rPr>
              <w:t>iembro</w:t>
            </w:r>
          </w:p>
        </w:tc>
      </w:tr>
      <w:tr w:rsidR="004F7C50" w:rsidRPr="004F7C50" w14:paraId="2114AB29" w14:textId="77777777" w:rsidTr="00500425">
        <w:trPr>
          <w:cantSplit/>
          <w:trHeight w:val="432"/>
        </w:trPr>
        <w:tc>
          <w:tcPr>
            <w:tcW w:w="1626" w:type="pct"/>
            <w:shd w:val="clear" w:color="auto" w:fill="FFFFFF" w:themeFill="background1"/>
            <w:vAlign w:val="center"/>
          </w:tcPr>
          <w:p w14:paraId="0DC648FF"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Irene Adelaide Forcella</w:t>
            </w:r>
          </w:p>
        </w:tc>
        <w:tc>
          <w:tcPr>
            <w:tcW w:w="2507" w:type="pct"/>
            <w:shd w:val="clear" w:color="auto" w:fill="FFFFFF" w:themeFill="background1"/>
            <w:vAlign w:val="center"/>
          </w:tcPr>
          <w:p w14:paraId="0AEB1065"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Italy</w:t>
            </w:r>
          </w:p>
        </w:tc>
        <w:tc>
          <w:tcPr>
            <w:tcW w:w="867" w:type="pct"/>
            <w:shd w:val="clear" w:color="auto" w:fill="FFFFFF" w:themeFill="background1"/>
            <w:vAlign w:val="center"/>
          </w:tcPr>
          <w:p w14:paraId="76E0972E" w14:textId="00BE6B41"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Observ</w:t>
            </w:r>
            <w:r>
              <w:rPr>
                <w:rFonts w:asciiTheme="minorHAnsi" w:hAnsiTheme="minorHAnsi" w:cstheme="minorHAnsi"/>
                <w:color w:val="000000"/>
                <w:sz w:val="24"/>
                <w:szCs w:val="24"/>
              </w:rPr>
              <w:t>ador</w:t>
            </w:r>
          </w:p>
        </w:tc>
      </w:tr>
      <w:tr w:rsidR="004F7C50" w:rsidRPr="004F7C50" w14:paraId="384BB9EE" w14:textId="77777777" w:rsidTr="0050581E">
        <w:trPr>
          <w:cantSplit/>
          <w:trHeight w:val="432"/>
        </w:trPr>
        <w:tc>
          <w:tcPr>
            <w:tcW w:w="1626" w:type="pct"/>
            <w:shd w:val="clear" w:color="auto" w:fill="FFFFFF" w:themeFill="background1"/>
            <w:vAlign w:val="center"/>
          </w:tcPr>
          <w:p w14:paraId="30F709A7"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Janne Posti</w:t>
            </w:r>
          </w:p>
        </w:tc>
        <w:tc>
          <w:tcPr>
            <w:tcW w:w="2507" w:type="pct"/>
            <w:shd w:val="clear" w:color="auto" w:fill="FFFFFF" w:themeFill="background1"/>
            <w:vAlign w:val="center"/>
          </w:tcPr>
          <w:p w14:paraId="103A29A2"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CONXEMAR</w:t>
            </w:r>
          </w:p>
        </w:tc>
        <w:tc>
          <w:tcPr>
            <w:tcW w:w="867" w:type="pct"/>
            <w:shd w:val="clear" w:color="auto" w:fill="FFFFFF" w:themeFill="background1"/>
          </w:tcPr>
          <w:p w14:paraId="225BD6CA" w14:textId="3D5E7343" w:rsidR="004F7C50" w:rsidRPr="004F7C50" w:rsidRDefault="004F7C50" w:rsidP="004F7C50">
            <w:pPr>
              <w:pStyle w:val="Standard"/>
              <w:spacing w:after="240"/>
              <w:rPr>
                <w:rFonts w:asciiTheme="minorHAnsi" w:hAnsiTheme="minorHAnsi" w:cstheme="minorHAnsi"/>
                <w:color w:val="000000"/>
                <w:sz w:val="24"/>
                <w:szCs w:val="24"/>
              </w:rPr>
            </w:pPr>
            <w:r w:rsidRPr="003F7726">
              <w:rPr>
                <w:rFonts w:asciiTheme="minorHAnsi" w:hAnsiTheme="minorHAnsi" w:cstheme="minorHAnsi"/>
                <w:color w:val="000000"/>
                <w:sz w:val="24"/>
                <w:szCs w:val="24"/>
              </w:rPr>
              <w:t>Miembro</w:t>
            </w:r>
          </w:p>
        </w:tc>
      </w:tr>
      <w:tr w:rsidR="004F7C50" w:rsidRPr="004F7C50" w14:paraId="05F99A71" w14:textId="77777777" w:rsidTr="0050581E">
        <w:trPr>
          <w:cantSplit/>
          <w:trHeight w:val="432"/>
        </w:trPr>
        <w:tc>
          <w:tcPr>
            <w:tcW w:w="1626" w:type="pct"/>
            <w:shd w:val="clear" w:color="auto" w:fill="FFFFFF" w:themeFill="background1"/>
            <w:vAlign w:val="center"/>
          </w:tcPr>
          <w:p w14:paraId="4C28C24A"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Javier Ojeda</w:t>
            </w:r>
          </w:p>
        </w:tc>
        <w:tc>
          <w:tcPr>
            <w:tcW w:w="2507" w:type="pct"/>
            <w:shd w:val="clear" w:color="auto" w:fill="FFFFFF" w:themeFill="background1"/>
            <w:vAlign w:val="center"/>
          </w:tcPr>
          <w:p w14:paraId="52B28120"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FEAP</w:t>
            </w:r>
          </w:p>
        </w:tc>
        <w:tc>
          <w:tcPr>
            <w:tcW w:w="867" w:type="pct"/>
            <w:shd w:val="clear" w:color="auto" w:fill="FFFFFF" w:themeFill="background1"/>
          </w:tcPr>
          <w:p w14:paraId="25108636" w14:textId="0BD67D38" w:rsidR="004F7C50" w:rsidRPr="004F7C50" w:rsidRDefault="004F7C50" w:rsidP="004F7C50">
            <w:pPr>
              <w:pStyle w:val="Standard"/>
              <w:spacing w:after="240"/>
              <w:rPr>
                <w:rFonts w:asciiTheme="minorHAnsi" w:hAnsiTheme="minorHAnsi" w:cstheme="minorHAnsi"/>
                <w:color w:val="000000"/>
                <w:sz w:val="24"/>
                <w:szCs w:val="24"/>
              </w:rPr>
            </w:pPr>
            <w:r w:rsidRPr="003F7726">
              <w:rPr>
                <w:rFonts w:asciiTheme="minorHAnsi" w:hAnsiTheme="minorHAnsi" w:cstheme="minorHAnsi"/>
                <w:color w:val="000000"/>
                <w:sz w:val="24"/>
                <w:szCs w:val="24"/>
              </w:rPr>
              <w:t>Miembro</w:t>
            </w:r>
          </w:p>
        </w:tc>
      </w:tr>
      <w:tr w:rsidR="004F7C50" w:rsidRPr="004F7C50" w14:paraId="554F327E" w14:textId="77777777" w:rsidTr="0050581E">
        <w:trPr>
          <w:cantSplit/>
          <w:trHeight w:val="432"/>
        </w:trPr>
        <w:tc>
          <w:tcPr>
            <w:tcW w:w="1626" w:type="pct"/>
            <w:shd w:val="clear" w:color="auto" w:fill="FFFFFF" w:themeFill="background1"/>
            <w:vAlign w:val="center"/>
          </w:tcPr>
          <w:p w14:paraId="53A685D7"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Jean Marie Robert</w:t>
            </w:r>
          </w:p>
        </w:tc>
        <w:tc>
          <w:tcPr>
            <w:tcW w:w="2507" w:type="pct"/>
            <w:shd w:val="clear" w:color="auto" w:fill="FFFFFF" w:themeFill="background1"/>
            <w:vAlign w:val="center"/>
          </w:tcPr>
          <w:p w14:paraId="36696A10"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PÊCHEURS DE BRETAGNE PO</w:t>
            </w:r>
          </w:p>
        </w:tc>
        <w:tc>
          <w:tcPr>
            <w:tcW w:w="867" w:type="pct"/>
            <w:shd w:val="clear" w:color="auto" w:fill="FFFFFF" w:themeFill="background1"/>
          </w:tcPr>
          <w:p w14:paraId="0516C34E" w14:textId="7C63C4C9" w:rsidR="004F7C50" w:rsidRPr="004F7C50" w:rsidRDefault="004F7C50" w:rsidP="004F7C50">
            <w:pPr>
              <w:pStyle w:val="Standard"/>
              <w:spacing w:after="240"/>
              <w:rPr>
                <w:rFonts w:asciiTheme="minorHAnsi" w:hAnsiTheme="minorHAnsi" w:cstheme="minorHAnsi"/>
                <w:color w:val="000000"/>
                <w:sz w:val="24"/>
                <w:szCs w:val="24"/>
              </w:rPr>
            </w:pPr>
            <w:r w:rsidRPr="003F7726">
              <w:rPr>
                <w:rFonts w:asciiTheme="minorHAnsi" w:hAnsiTheme="minorHAnsi" w:cstheme="minorHAnsi"/>
                <w:color w:val="000000"/>
                <w:sz w:val="24"/>
                <w:szCs w:val="24"/>
              </w:rPr>
              <w:t>Miembro</w:t>
            </w:r>
          </w:p>
        </w:tc>
      </w:tr>
      <w:tr w:rsidR="004F7C50" w:rsidRPr="004F7C50" w14:paraId="08EFA0A1" w14:textId="77777777" w:rsidTr="00500425">
        <w:trPr>
          <w:cantSplit/>
          <w:trHeight w:val="432"/>
        </w:trPr>
        <w:tc>
          <w:tcPr>
            <w:tcW w:w="1626" w:type="pct"/>
            <w:shd w:val="clear" w:color="auto" w:fill="FFFFFF" w:themeFill="background1"/>
            <w:vAlign w:val="center"/>
          </w:tcPr>
          <w:p w14:paraId="5A50FD97"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Joe Emmanuel Seck</w:t>
            </w:r>
          </w:p>
        </w:tc>
        <w:tc>
          <w:tcPr>
            <w:tcW w:w="2507" w:type="pct"/>
            <w:shd w:val="clear" w:color="auto" w:fill="FFFFFF" w:themeFill="background1"/>
            <w:vAlign w:val="center"/>
          </w:tcPr>
          <w:p w14:paraId="701D6052"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France</w:t>
            </w:r>
          </w:p>
        </w:tc>
        <w:tc>
          <w:tcPr>
            <w:tcW w:w="867" w:type="pct"/>
            <w:shd w:val="clear" w:color="auto" w:fill="FFFFFF" w:themeFill="background1"/>
            <w:vAlign w:val="center"/>
          </w:tcPr>
          <w:p w14:paraId="32051B28" w14:textId="7356DBD6"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Observ</w:t>
            </w:r>
            <w:r>
              <w:rPr>
                <w:rFonts w:asciiTheme="minorHAnsi" w:hAnsiTheme="minorHAnsi" w:cstheme="minorHAnsi"/>
                <w:color w:val="000000"/>
                <w:sz w:val="24"/>
                <w:szCs w:val="24"/>
              </w:rPr>
              <w:t>ador</w:t>
            </w:r>
          </w:p>
        </w:tc>
      </w:tr>
      <w:tr w:rsidR="004F7C50" w:rsidRPr="004F7C50" w14:paraId="072A54EC" w14:textId="77777777" w:rsidTr="007E755B">
        <w:trPr>
          <w:cantSplit/>
          <w:trHeight w:val="432"/>
        </w:trPr>
        <w:tc>
          <w:tcPr>
            <w:tcW w:w="1626" w:type="pct"/>
            <w:shd w:val="clear" w:color="auto" w:fill="FFFFFF" w:themeFill="background1"/>
            <w:vAlign w:val="center"/>
          </w:tcPr>
          <w:p w14:paraId="6BF204D2"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Julien Lamothe</w:t>
            </w:r>
          </w:p>
        </w:tc>
        <w:tc>
          <w:tcPr>
            <w:tcW w:w="2507" w:type="pct"/>
            <w:shd w:val="clear" w:color="auto" w:fill="FFFFFF" w:themeFill="background1"/>
            <w:vAlign w:val="center"/>
          </w:tcPr>
          <w:p w14:paraId="3EAFDF4E"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auto"/>
                <w:sz w:val="24"/>
                <w:szCs w:val="24"/>
              </w:rPr>
              <w:t>EAPO</w:t>
            </w:r>
          </w:p>
        </w:tc>
        <w:tc>
          <w:tcPr>
            <w:tcW w:w="867" w:type="pct"/>
            <w:shd w:val="clear" w:color="auto" w:fill="FFFFFF" w:themeFill="background1"/>
          </w:tcPr>
          <w:p w14:paraId="7C168647" w14:textId="7A618C70"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315E086C" w14:textId="77777777" w:rsidTr="007E755B">
        <w:trPr>
          <w:cantSplit/>
          <w:trHeight w:val="432"/>
        </w:trPr>
        <w:tc>
          <w:tcPr>
            <w:tcW w:w="1626" w:type="pct"/>
            <w:shd w:val="clear" w:color="auto" w:fill="FFFFFF" w:themeFill="background1"/>
            <w:vAlign w:val="center"/>
          </w:tcPr>
          <w:p w14:paraId="7E089069"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Katarina Sipic</w:t>
            </w:r>
          </w:p>
        </w:tc>
        <w:tc>
          <w:tcPr>
            <w:tcW w:w="2507" w:type="pct"/>
            <w:shd w:val="clear" w:color="auto" w:fill="FFFFFF" w:themeFill="background1"/>
            <w:vAlign w:val="center"/>
          </w:tcPr>
          <w:p w14:paraId="29991291"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auto"/>
                <w:sz w:val="24"/>
                <w:szCs w:val="24"/>
              </w:rPr>
              <w:t>SEAFOOD EUROPE</w:t>
            </w:r>
          </w:p>
        </w:tc>
        <w:tc>
          <w:tcPr>
            <w:tcW w:w="867" w:type="pct"/>
            <w:shd w:val="clear" w:color="auto" w:fill="FFFFFF" w:themeFill="background1"/>
          </w:tcPr>
          <w:p w14:paraId="706A196B" w14:textId="6DBDC681"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6B2FBFB7" w14:textId="77777777" w:rsidTr="007E755B">
        <w:trPr>
          <w:cantSplit/>
          <w:trHeight w:val="432"/>
        </w:trPr>
        <w:tc>
          <w:tcPr>
            <w:tcW w:w="1626" w:type="pct"/>
            <w:shd w:val="clear" w:color="auto" w:fill="FFFFFF" w:themeFill="background1"/>
            <w:vAlign w:val="center"/>
          </w:tcPr>
          <w:p w14:paraId="7F75D618"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Laura Harpøth Espensen</w:t>
            </w:r>
          </w:p>
        </w:tc>
        <w:tc>
          <w:tcPr>
            <w:tcW w:w="2507" w:type="pct"/>
            <w:shd w:val="clear" w:color="auto" w:fill="FFFFFF" w:themeFill="background1"/>
            <w:vAlign w:val="center"/>
          </w:tcPr>
          <w:p w14:paraId="66A36621"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auto"/>
                <w:sz w:val="24"/>
                <w:szCs w:val="24"/>
              </w:rPr>
              <w:t>EFFOP</w:t>
            </w:r>
          </w:p>
        </w:tc>
        <w:tc>
          <w:tcPr>
            <w:tcW w:w="867" w:type="pct"/>
            <w:shd w:val="clear" w:color="auto" w:fill="FFFFFF" w:themeFill="background1"/>
          </w:tcPr>
          <w:p w14:paraId="2591F34E" w14:textId="3EC375B8"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3989945A" w14:textId="77777777" w:rsidTr="007E755B">
        <w:trPr>
          <w:cantSplit/>
          <w:trHeight w:val="432"/>
        </w:trPr>
        <w:tc>
          <w:tcPr>
            <w:tcW w:w="1626" w:type="pct"/>
            <w:shd w:val="clear" w:color="auto" w:fill="FFFFFF" w:themeFill="background1"/>
            <w:vAlign w:val="center"/>
          </w:tcPr>
          <w:p w14:paraId="21DABB28"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María Luisa Álvarez Blanco</w:t>
            </w:r>
          </w:p>
        </w:tc>
        <w:tc>
          <w:tcPr>
            <w:tcW w:w="2507" w:type="pct"/>
            <w:shd w:val="clear" w:color="auto" w:fill="FFFFFF" w:themeFill="background1"/>
            <w:vAlign w:val="center"/>
          </w:tcPr>
          <w:p w14:paraId="5F4AA1C1"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auto"/>
                <w:sz w:val="24"/>
                <w:szCs w:val="24"/>
              </w:rPr>
              <w:t>FEDEPESCA</w:t>
            </w:r>
          </w:p>
        </w:tc>
        <w:tc>
          <w:tcPr>
            <w:tcW w:w="867" w:type="pct"/>
            <w:shd w:val="clear" w:color="auto" w:fill="FFFFFF" w:themeFill="background1"/>
          </w:tcPr>
          <w:p w14:paraId="4D2C5A1B" w14:textId="5601636A"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29CAC2DC" w14:textId="77777777" w:rsidTr="007E755B">
        <w:trPr>
          <w:cantSplit/>
          <w:trHeight w:val="432"/>
        </w:trPr>
        <w:tc>
          <w:tcPr>
            <w:tcW w:w="1626" w:type="pct"/>
            <w:shd w:val="clear" w:color="auto" w:fill="FFFFFF" w:themeFill="background1"/>
            <w:vAlign w:val="center"/>
          </w:tcPr>
          <w:p w14:paraId="6E0D12AA"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Marine Cusa</w:t>
            </w:r>
          </w:p>
        </w:tc>
        <w:tc>
          <w:tcPr>
            <w:tcW w:w="2507" w:type="pct"/>
            <w:shd w:val="clear" w:color="auto" w:fill="FFFFFF" w:themeFill="background1"/>
            <w:vAlign w:val="center"/>
          </w:tcPr>
          <w:p w14:paraId="0691F906"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auto"/>
                <w:sz w:val="24"/>
                <w:szCs w:val="24"/>
              </w:rPr>
              <w:t>Oceana</w:t>
            </w:r>
          </w:p>
        </w:tc>
        <w:tc>
          <w:tcPr>
            <w:tcW w:w="867" w:type="pct"/>
            <w:shd w:val="clear" w:color="auto" w:fill="FFFFFF" w:themeFill="background1"/>
          </w:tcPr>
          <w:p w14:paraId="290B18FF" w14:textId="21EDF706"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20ABF7A1" w14:textId="77777777" w:rsidTr="007E755B">
        <w:trPr>
          <w:cantSplit/>
          <w:trHeight w:val="432"/>
        </w:trPr>
        <w:tc>
          <w:tcPr>
            <w:tcW w:w="1626" w:type="pct"/>
            <w:shd w:val="clear" w:color="auto" w:fill="FFFFFF" w:themeFill="background1"/>
            <w:vAlign w:val="center"/>
          </w:tcPr>
          <w:p w14:paraId="62A22BB1"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Matthew Gréant</w:t>
            </w:r>
          </w:p>
        </w:tc>
        <w:tc>
          <w:tcPr>
            <w:tcW w:w="2507" w:type="pct"/>
            <w:shd w:val="clear" w:color="auto" w:fill="FFFFFF" w:themeFill="background1"/>
            <w:vAlign w:val="center"/>
          </w:tcPr>
          <w:p w14:paraId="027300DE" w14:textId="77777777" w:rsidR="004F7C50" w:rsidRPr="004F7C50" w:rsidRDefault="004F7C50" w:rsidP="004F7C50">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ENVIRONMENTAL JUSTICE FOUNDATION (EJF)</w:t>
            </w:r>
          </w:p>
        </w:tc>
        <w:tc>
          <w:tcPr>
            <w:tcW w:w="867" w:type="pct"/>
            <w:shd w:val="clear" w:color="auto" w:fill="FFFFFF" w:themeFill="background1"/>
          </w:tcPr>
          <w:p w14:paraId="10F4F6C7" w14:textId="13B8D7C5"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1970B2F4" w14:textId="77777777" w:rsidTr="007E755B">
        <w:trPr>
          <w:cantSplit/>
          <w:trHeight w:val="432"/>
        </w:trPr>
        <w:tc>
          <w:tcPr>
            <w:tcW w:w="1626" w:type="pct"/>
            <w:shd w:val="clear" w:color="auto" w:fill="FFFFFF" w:themeFill="background1"/>
            <w:vAlign w:val="center"/>
          </w:tcPr>
          <w:p w14:paraId="0047A2F9"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Paolo Giuseppe</w:t>
            </w:r>
          </w:p>
        </w:tc>
        <w:tc>
          <w:tcPr>
            <w:tcW w:w="2507" w:type="pct"/>
            <w:shd w:val="clear" w:color="auto" w:fill="FFFFFF" w:themeFill="background1"/>
            <w:vAlign w:val="center"/>
          </w:tcPr>
          <w:p w14:paraId="5743E8DF" w14:textId="77777777" w:rsidR="004F7C50" w:rsidRPr="004F7C50" w:rsidRDefault="004F7C50" w:rsidP="004F7C50">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EuroCommerce</w:t>
            </w:r>
          </w:p>
        </w:tc>
        <w:tc>
          <w:tcPr>
            <w:tcW w:w="867" w:type="pct"/>
            <w:shd w:val="clear" w:color="auto" w:fill="FFFFFF" w:themeFill="background1"/>
          </w:tcPr>
          <w:p w14:paraId="6349989D" w14:textId="1B942634" w:rsidR="004F7C50" w:rsidRPr="004F7C50" w:rsidRDefault="004F7C50" w:rsidP="004F7C50">
            <w:pPr>
              <w:pStyle w:val="Standard"/>
              <w:spacing w:after="240"/>
              <w:rPr>
                <w:rFonts w:asciiTheme="minorHAnsi" w:hAnsiTheme="minorHAnsi" w:cstheme="minorHAnsi"/>
                <w:color w:val="000000"/>
                <w:sz w:val="24"/>
                <w:szCs w:val="24"/>
              </w:rPr>
            </w:pPr>
            <w:r w:rsidRPr="00B64587">
              <w:rPr>
                <w:rFonts w:asciiTheme="minorHAnsi" w:hAnsiTheme="minorHAnsi" w:cstheme="minorHAnsi"/>
                <w:color w:val="000000"/>
                <w:sz w:val="24"/>
                <w:szCs w:val="24"/>
              </w:rPr>
              <w:t>Miembro</w:t>
            </w:r>
          </w:p>
        </w:tc>
      </w:tr>
      <w:tr w:rsidR="004F7C50" w:rsidRPr="004F7C50" w14:paraId="416801FC" w14:textId="77777777" w:rsidTr="00500425">
        <w:trPr>
          <w:cantSplit/>
          <w:trHeight w:val="432"/>
        </w:trPr>
        <w:tc>
          <w:tcPr>
            <w:tcW w:w="1626" w:type="pct"/>
            <w:shd w:val="clear" w:color="auto" w:fill="FFFFFF" w:themeFill="background1"/>
            <w:vAlign w:val="center"/>
          </w:tcPr>
          <w:p w14:paraId="138DEE0B"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Pedro Reis Santos</w:t>
            </w:r>
          </w:p>
        </w:tc>
        <w:tc>
          <w:tcPr>
            <w:tcW w:w="2507" w:type="pct"/>
            <w:shd w:val="clear" w:color="auto" w:fill="FFFFFF" w:themeFill="background1"/>
            <w:vAlign w:val="center"/>
          </w:tcPr>
          <w:p w14:paraId="46F1E6B3" w14:textId="5EA204C0"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MARKET ADVISORY COUNCIL</w:t>
            </w:r>
            <w:r>
              <w:rPr>
                <w:rFonts w:asciiTheme="minorHAnsi" w:hAnsiTheme="minorHAnsi" w:cstheme="minorHAnsi"/>
                <w:color w:val="000000"/>
                <w:sz w:val="24"/>
                <w:szCs w:val="24"/>
              </w:rPr>
              <w:t xml:space="preserve"> (MAC)</w:t>
            </w:r>
          </w:p>
        </w:tc>
        <w:tc>
          <w:tcPr>
            <w:tcW w:w="867" w:type="pct"/>
            <w:shd w:val="clear" w:color="auto" w:fill="FFFFFF" w:themeFill="background1"/>
            <w:vAlign w:val="center"/>
          </w:tcPr>
          <w:p w14:paraId="492C3E8A" w14:textId="0FB35A3C"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Secretaria</w:t>
            </w:r>
          </w:p>
        </w:tc>
      </w:tr>
      <w:tr w:rsidR="004F7C50" w:rsidRPr="004F7C50" w14:paraId="53004AF1" w14:textId="77777777" w:rsidTr="00500425">
        <w:trPr>
          <w:cantSplit/>
          <w:trHeight w:val="432"/>
        </w:trPr>
        <w:tc>
          <w:tcPr>
            <w:tcW w:w="1626" w:type="pct"/>
            <w:shd w:val="clear" w:color="auto" w:fill="FFFFFF" w:themeFill="background1"/>
            <w:vAlign w:val="center"/>
          </w:tcPr>
          <w:p w14:paraId="4E20EFD2"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Thibault Pivetta</w:t>
            </w:r>
          </w:p>
        </w:tc>
        <w:tc>
          <w:tcPr>
            <w:tcW w:w="2507" w:type="pct"/>
            <w:shd w:val="clear" w:color="auto" w:fill="FFFFFF" w:themeFill="background1"/>
            <w:vAlign w:val="center"/>
          </w:tcPr>
          <w:p w14:paraId="609D2BDF"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EUROPEAN MOLLUSCS PRODUCERS ASSOCIATION</w:t>
            </w:r>
          </w:p>
        </w:tc>
        <w:tc>
          <w:tcPr>
            <w:tcW w:w="867" w:type="pct"/>
            <w:shd w:val="clear" w:color="auto" w:fill="FFFFFF" w:themeFill="background1"/>
            <w:vAlign w:val="center"/>
          </w:tcPr>
          <w:p w14:paraId="08A8E906" w14:textId="0E80C876"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w:t>
            </w:r>
            <w:r>
              <w:rPr>
                <w:rFonts w:asciiTheme="minorHAnsi" w:hAnsiTheme="minorHAnsi" w:cstheme="minorHAnsi"/>
                <w:color w:val="000000"/>
                <w:sz w:val="24"/>
                <w:szCs w:val="24"/>
              </w:rPr>
              <w:t>iembro</w:t>
            </w:r>
          </w:p>
        </w:tc>
      </w:tr>
      <w:tr w:rsidR="004F7C50" w:rsidRPr="004F7C50" w14:paraId="24C7065F" w14:textId="77777777" w:rsidTr="00500425">
        <w:trPr>
          <w:cantSplit/>
          <w:trHeight w:val="432"/>
        </w:trPr>
        <w:tc>
          <w:tcPr>
            <w:tcW w:w="1626" w:type="pct"/>
            <w:shd w:val="clear" w:color="auto" w:fill="FFFFFF" w:themeFill="background1"/>
            <w:vAlign w:val="center"/>
          </w:tcPr>
          <w:p w14:paraId="4D47EF7E"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lastRenderedPageBreak/>
              <w:t>Violaine De Neef</w:t>
            </w:r>
          </w:p>
        </w:tc>
        <w:tc>
          <w:tcPr>
            <w:tcW w:w="2507" w:type="pct"/>
            <w:shd w:val="clear" w:color="auto" w:fill="FFFFFF" w:themeFill="background1"/>
            <w:vAlign w:val="center"/>
          </w:tcPr>
          <w:p w14:paraId="5BBB9CD9" w14:textId="36738BA5"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MARKET ADVISORY COUNCIL</w:t>
            </w:r>
            <w:r>
              <w:rPr>
                <w:rFonts w:asciiTheme="minorHAnsi" w:hAnsiTheme="minorHAnsi" w:cstheme="minorHAnsi"/>
                <w:color w:val="000000"/>
                <w:sz w:val="24"/>
                <w:szCs w:val="24"/>
              </w:rPr>
              <w:t xml:space="preserve"> (MAC)</w:t>
            </w:r>
          </w:p>
        </w:tc>
        <w:tc>
          <w:tcPr>
            <w:tcW w:w="867" w:type="pct"/>
            <w:shd w:val="clear" w:color="auto" w:fill="FFFFFF" w:themeFill="background1"/>
            <w:vAlign w:val="center"/>
          </w:tcPr>
          <w:p w14:paraId="477D1623" w14:textId="09C0FBB5"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Secretaria</w:t>
            </w:r>
          </w:p>
        </w:tc>
      </w:tr>
      <w:tr w:rsidR="004F7C50" w:rsidRPr="004F7C50" w14:paraId="11FB39EE" w14:textId="77777777" w:rsidTr="00500425">
        <w:trPr>
          <w:cantSplit/>
          <w:trHeight w:val="432"/>
        </w:trPr>
        <w:tc>
          <w:tcPr>
            <w:tcW w:w="1626" w:type="pct"/>
            <w:shd w:val="clear" w:color="auto" w:fill="FFFFFF" w:themeFill="background1"/>
            <w:vAlign w:val="center"/>
          </w:tcPr>
          <w:p w14:paraId="024C3332"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William Morré</w:t>
            </w:r>
          </w:p>
        </w:tc>
        <w:tc>
          <w:tcPr>
            <w:tcW w:w="2507" w:type="pct"/>
            <w:shd w:val="clear" w:color="auto" w:fill="FFFFFF" w:themeFill="background1"/>
            <w:vAlign w:val="center"/>
          </w:tcPr>
          <w:p w14:paraId="4054BFFC" w14:textId="77777777"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MARINE STEWARDSHIP COUNCIL (MSC)</w:t>
            </w:r>
          </w:p>
        </w:tc>
        <w:tc>
          <w:tcPr>
            <w:tcW w:w="867" w:type="pct"/>
            <w:shd w:val="clear" w:color="auto" w:fill="FFFFFF" w:themeFill="background1"/>
            <w:vAlign w:val="center"/>
          </w:tcPr>
          <w:p w14:paraId="0E55F095" w14:textId="47CA8D95" w:rsidR="004F7C50" w:rsidRPr="004F7C50" w:rsidRDefault="004F7C50" w:rsidP="00500425">
            <w:pPr>
              <w:pStyle w:val="Standard"/>
              <w:spacing w:after="240"/>
              <w:rPr>
                <w:rFonts w:asciiTheme="minorHAnsi" w:hAnsiTheme="minorHAnsi" w:cstheme="minorHAnsi"/>
                <w:color w:val="000000"/>
                <w:sz w:val="24"/>
                <w:szCs w:val="24"/>
              </w:rPr>
            </w:pPr>
            <w:r w:rsidRPr="004F7C50">
              <w:rPr>
                <w:rFonts w:asciiTheme="minorHAnsi" w:hAnsiTheme="minorHAnsi" w:cstheme="minorHAnsi"/>
                <w:color w:val="000000"/>
                <w:sz w:val="24"/>
                <w:szCs w:val="24"/>
              </w:rPr>
              <w:t>M</w:t>
            </w:r>
            <w:r>
              <w:rPr>
                <w:rFonts w:asciiTheme="minorHAnsi" w:hAnsiTheme="minorHAnsi" w:cstheme="minorHAnsi"/>
                <w:color w:val="000000"/>
                <w:sz w:val="24"/>
                <w:szCs w:val="24"/>
              </w:rPr>
              <w:t>iembro</w:t>
            </w:r>
          </w:p>
        </w:tc>
      </w:tr>
      <w:tr w:rsidR="004F7C50" w:rsidRPr="004F7C50" w14:paraId="782625AD" w14:textId="77777777" w:rsidTr="00500425">
        <w:trPr>
          <w:cantSplit/>
          <w:trHeight w:val="432"/>
        </w:trPr>
        <w:tc>
          <w:tcPr>
            <w:tcW w:w="1626" w:type="pct"/>
            <w:shd w:val="clear" w:color="auto" w:fill="FFFFFF" w:themeFill="background1"/>
            <w:vAlign w:val="center"/>
          </w:tcPr>
          <w:p w14:paraId="6DEA22F8" w14:textId="77777777" w:rsidR="004F7C50" w:rsidRPr="004F7C50" w:rsidRDefault="004F7C50" w:rsidP="00500425">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Yobana Bermúdez Rodríguez</w:t>
            </w:r>
          </w:p>
        </w:tc>
        <w:tc>
          <w:tcPr>
            <w:tcW w:w="2507" w:type="pct"/>
            <w:shd w:val="clear" w:color="auto" w:fill="FFFFFF" w:themeFill="background1"/>
            <w:vAlign w:val="center"/>
          </w:tcPr>
          <w:p w14:paraId="4A4C772F" w14:textId="77777777" w:rsidR="004F7C50" w:rsidRPr="004F7C50" w:rsidRDefault="004F7C50" w:rsidP="00500425">
            <w:pPr>
              <w:pStyle w:val="Standard"/>
              <w:spacing w:after="240"/>
              <w:rPr>
                <w:rFonts w:asciiTheme="minorHAnsi" w:hAnsiTheme="minorHAnsi" w:cstheme="minorHAnsi"/>
                <w:color w:val="auto"/>
                <w:sz w:val="24"/>
                <w:szCs w:val="24"/>
              </w:rPr>
            </w:pPr>
            <w:r w:rsidRPr="004F7C50">
              <w:rPr>
                <w:rFonts w:asciiTheme="minorHAnsi" w:hAnsiTheme="minorHAnsi" w:cstheme="minorHAnsi"/>
                <w:color w:val="000000"/>
                <w:sz w:val="24"/>
                <w:szCs w:val="24"/>
              </w:rPr>
              <w:t>SEAFOOD EUROPE</w:t>
            </w:r>
          </w:p>
        </w:tc>
        <w:tc>
          <w:tcPr>
            <w:tcW w:w="867" w:type="pct"/>
            <w:shd w:val="clear" w:color="auto" w:fill="FFFFFF" w:themeFill="background1"/>
            <w:vAlign w:val="center"/>
          </w:tcPr>
          <w:p w14:paraId="72851FE9" w14:textId="66FCA694" w:rsidR="004F7C50" w:rsidRPr="004F7C50" w:rsidRDefault="004F7C50" w:rsidP="00500425">
            <w:pPr>
              <w:pStyle w:val="Standard"/>
              <w:spacing w:after="240"/>
              <w:rPr>
                <w:rFonts w:asciiTheme="minorHAnsi" w:hAnsiTheme="minorHAnsi" w:cstheme="minorHAnsi"/>
                <w:color w:val="000000"/>
                <w:sz w:val="24"/>
                <w:szCs w:val="24"/>
              </w:rPr>
            </w:pPr>
            <w:r>
              <w:rPr>
                <w:rFonts w:asciiTheme="minorHAnsi" w:hAnsiTheme="minorHAnsi" w:cstheme="minorHAnsi"/>
                <w:color w:val="000000"/>
                <w:sz w:val="24"/>
                <w:szCs w:val="24"/>
              </w:rPr>
              <w:t>Presidenta</w:t>
            </w:r>
          </w:p>
        </w:tc>
      </w:tr>
    </w:tbl>
    <w:p w14:paraId="6A805DBF" w14:textId="77777777" w:rsidR="004F7C50" w:rsidRPr="004F7C50" w:rsidRDefault="004F7C50" w:rsidP="004F7C50">
      <w:pPr>
        <w:pStyle w:val="Standard"/>
        <w:spacing w:after="240"/>
        <w:rPr>
          <w:b/>
          <w:bCs/>
          <w:i/>
          <w:sz w:val="2"/>
          <w:szCs w:val="2"/>
          <w:u w:val="single"/>
        </w:rPr>
      </w:pPr>
    </w:p>
    <w:p w14:paraId="64EE6D6D" w14:textId="2F66BF77" w:rsidR="00FF50AD" w:rsidRPr="004F7C50" w:rsidRDefault="00FF50AD" w:rsidP="00C60B19">
      <w:pPr>
        <w:pStyle w:val="Standard"/>
        <w:spacing w:after="240"/>
        <w:rPr>
          <w:b/>
          <w:bCs/>
          <w:i/>
          <w:sz w:val="2"/>
          <w:szCs w:val="2"/>
          <w:u w:val="single"/>
        </w:rPr>
      </w:pPr>
    </w:p>
    <w:sectPr w:rsidR="00FF50AD" w:rsidRPr="004F7C50" w:rsidSect="00C60B19">
      <w:headerReference w:type="default" r:id="rId13"/>
      <w:footerReference w:type="default" r:id="rId14"/>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BEA8" w14:textId="77777777" w:rsidR="00E12C59" w:rsidRPr="004F7C50" w:rsidRDefault="00E12C59" w:rsidP="00F95260">
      <w:pPr>
        <w:spacing w:after="0" w:line="240" w:lineRule="auto"/>
      </w:pPr>
      <w:r w:rsidRPr="004F7C50">
        <w:separator/>
      </w:r>
    </w:p>
  </w:endnote>
  <w:endnote w:type="continuationSeparator" w:id="0">
    <w:p w14:paraId="5E2E5C90" w14:textId="77777777" w:rsidR="00E12C59" w:rsidRPr="004F7C50" w:rsidRDefault="00E12C59" w:rsidP="00F95260">
      <w:pPr>
        <w:spacing w:after="0" w:line="240" w:lineRule="auto"/>
      </w:pPr>
      <w:r w:rsidRPr="004F7C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EBB9" w14:textId="109E8CC4" w:rsidR="0063179A" w:rsidRPr="004F7C50" w:rsidRDefault="0028025A">
    <w:pPr>
      <w:pStyle w:val="Footer"/>
    </w:pPr>
    <w:r w:rsidRPr="004F7C50">
      <w:rPr>
        <w:noProof/>
      </w:rPr>
      <w:drawing>
        <wp:anchor distT="0" distB="0" distL="114300" distR="114300" simplePos="0" relativeHeight="251657216" behindDoc="1" locked="0" layoutInCell="1" allowOverlap="1" wp14:anchorId="096865FB" wp14:editId="496D0F52">
          <wp:simplePos x="0" y="0"/>
          <wp:positionH relativeFrom="margin">
            <wp:align>center</wp:align>
          </wp:positionH>
          <wp:positionV relativeFrom="page">
            <wp:posOffset>9493250</wp:posOffset>
          </wp:positionV>
          <wp:extent cx="4959350" cy="1043940"/>
          <wp:effectExtent l="0" t="0" r="0" b="3810"/>
          <wp:wrapTopAndBottom/>
          <wp:docPr id="5153195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6785B-D1E5-4CA3-951D-68C2696BEA3B"/>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959350" cy="104394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73FA" w14:textId="77777777" w:rsidR="00E12C59" w:rsidRPr="004F7C50" w:rsidRDefault="00E12C59" w:rsidP="00F95260">
      <w:pPr>
        <w:spacing w:after="0" w:line="240" w:lineRule="auto"/>
      </w:pPr>
      <w:r w:rsidRPr="004F7C50">
        <w:separator/>
      </w:r>
    </w:p>
  </w:footnote>
  <w:footnote w:type="continuationSeparator" w:id="0">
    <w:p w14:paraId="0ACAFA44" w14:textId="77777777" w:rsidR="00E12C59" w:rsidRPr="004F7C50" w:rsidRDefault="00E12C59" w:rsidP="00F95260">
      <w:pPr>
        <w:spacing w:after="0" w:line="240" w:lineRule="auto"/>
      </w:pPr>
      <w:r w:rsidRPr="004F7C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D2E9" w14:textId="687A7C82" w:rsidR="004D4D14" w:rsidRPr="004F7C50" w:rsidRDefault="00063F57" w:rsidP="00F95260">
    <w:pPr>
      <w:pStyle w:val="Header"/>
      <w:jc w:val="center"/>
    </w:pPr>
    <w:r w:rsidRPr="004F7C50">
      <w:rPr>
        <w:noProof/>
      </w:rPr>
      <w:drawing>
        <wp:inline distT="0" distB="0" distL="0" distR="0" wp14:anchorId="23BDC4D3" wp14:editId="423489A6">
          <wp:extent cx="1400175" cy="905724"/>
          <wp:effectExtent l="0" t="0" r="0" b="0"/>
          <wp:docPr id="8860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c.JPG"/>
                  <pic:cNvPicPr/>
                </pic:nvPicPr>
                <pic:blipFill>
                  <a:blip r:embed="rId1">
                    <a:extLst>
                      <a:ext uri="{28A0092B-C50C-407E-A947-70E740481C1C}">
                        <a14:useLocalDpi xmlns:a14="http://schemas.microsoft.com/office/drawing/2010/main" val="0"/>
                      </a:ext>
                    </a:extLst>
                  </a:blip>
                  <a:stretch>
                    <a:fillRect/>
                  </a:stretch>
                </pic:blipFill>
                <pic:spPr>
                  <a:xfrm>
                    <a:off x="0" y="0"/>
                    <a:ext cx="1411930" cy="913328"/>
                  </a:xfrm>
                  <a:prstGeom prst="rect">
                    <a:avLst/>
                  </a:prstGeom>
                </pic:spPr>
              </pic:pic>
            </a:graphicData>
          </a:graphic>
        </wp:inline>
      </w:drawing>
    </w:r>
  </w:p>
  <w:p w14:paraId="1D4BAEA1" w14:textId="4684F632" w:rsidR="00FF50AD" w:rsidRPr="004F7C50" w:rsidRDefault="00FF50AD" w:rsidP="00F952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CCEB71"/>
    <w:multiLevelType w:val="hybridMultilevel"/>
    <w:tmpl w:val="A14E9A9C"/>
    <w:lvl w:ilvl="0" w:tplc="100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00FCC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641972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F43511"/>
    <w:multiLevelType w:val="hybridMultilevel"/>
    <w:tmpl w:val="264EC4AC"/>
    <w:lvl w:ilvl="0" w:tplc="FFFFFFFF">
      <w:start w:val="1"/>
      <w:numFmt w:val="bullet"/>
      <w:lvlText w:val="•"/>
      <w:lvlJc w:val="left"/>
    </w:lvl>
    <w:lvl w:ilvl="1" w:tplc="FFFFFFFF">
      <w:start w:val="1"/>
      <w:numFmt w:val="bullet"/>
      <w:lvlText w:val=""/>
      <w:lvlJc w:val="left"/>
      <w:pPr>
        <w:ind w:left="720" w:hanging="360"/>
      </w:pPr>
      <w:rPr>
        <w:rFonts w:ascii="Symbol" w:hAnsi="Symbol" w:hint="default"/>
        <w:color w:val="auto"/>
      </w:rPr>
    </w:lvl>
    <w:lvl w:ilvl="2" w:tplc="FFFFFFFF">
      <w:numFmt w:val="decimal"/>
      <w:lvlText w:val=""/>
      <w:lvlJc w:val="left"/>
    </w:lvl>
    <w:lvl w:ilvl="3" w:tplc="FFFFFFFF">
      <w:numFmt w:val="decimal"/>
      <w:lvlText w:val=""/>
      <w:lvlJc w:val="left"/>
    </w:lvl>
    <w:lvl w:ilvl="4" w:tplc="10000003">
      <w:start w:val="1"/>
      <w:numFmt w:val="bullet"/>
      <w:lvlText w:val="o"/>
      <w:lvlJc w:val="left"/>
      <w:pPr>
        <w:ind w:left="1440" w:hanging="360"/>
      </w:pPr>
      <w:rPr>
        <w:rFonts w:ascii="Courier New" w:hAnsi="Courier New" w:cs="Courier New" w:hint="default"/>
      </w:r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1567B"/>
    <w:multiLevelType w:val="hybridMultilevel"/>
    <w:tmpl w:val="1B9A3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4E1F26"/>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8C57CFC"/>
    <w:multiLevelType w:val="hybridMultilevel"/>
    <w:tmpl w:val="525629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41717A"/>
    <w:multiLevelType w:val="hybridMultilevel"/>
    <w:tmpl w:val="3F2AB044"/>
    <w:lvl w:ilvl="0" w:tplc="E7AE9B48">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FA05F9"/>
    <w:multiLevelType w:val="hybridMultilevel"/>
    <w:tmpl w:val="6622C3D8"/>
    <w:lvl w:ilvl="0" w:tplc="FE583542">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235A73A1"/>
    <w:multiLevelType w:val="hybridMultilevel"/>
    <w:tmpl w:val="F4B21002"/>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15:restartNumberingAfterBreak="0">
    <w:nsid w:val="28341AB1"/>
    <w:multiLevelType w:val="hybridMultilevel"/>
    <w:tmpl w:val="74A8DA08"/>
    <w:lvl w:ilvl="0" w:tplc="E7AE9B4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2C93316A"/>
    <w:multiLevelType w:val="hybridMultilevel"/>
    <w:tmpl w:val="65226018"/>
    <w:lvl w:ilvl="0" w:tplc="6598ECD6">
      <w:start w:val="4"/>
      <w:numFmt w:val="bullet"/>
      <w:lvlText w:val="-"/>
      <w:lvlJc w:val="left"/>
      <w:pPr>
        <w:ind w:left="720" w:hanging="360"/>
      </w:pPr>
      <w:rPr>
        <w:rFonts w:ascii="Calibri" w:eastAsia="SimSu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2F6500DE"/>
    <w:multiLevelType w:val="hybridMultilevel"/>
    <w:tmpl w:val="D6FAD030"/>
    <w:lvl w:ilvl="0" w:tplc="10000003">
      <w:start w:val="1"/>
      <w:numFmt w:val="bullet"/>
      <w:lvlText w:val="o"/>
      <w:lvlJc w:val="left"/>
      <w:pPr>
        <w:ind w:left="1800" w:hanging="360"/>
      </w:pPr>
      <w:rPr>
        <w:rFonts w:ascii="Courier New" w:hAnsi="Courier New" w:cs="Courier New" w:hint="default"/>
      </w:rPr>
    </w:lvl>
    <w:lvl w:ilvl="1" w:tplc="10000003" w:tentative="1">
      <w:start w:val="1"/>
      <w:numFmt w:val="bullet"/>
      <w:lvlText w:val="o"/>
      <w:lvlJc w:val="left"/>
      <w:pPr>
        <w:ind w:left="2520" w:hanging="360"/>
      </w:pPr>
      <w:rPr>
        <w:rFonts w:ascii="Courier New" w:hAnsi="Courier New" w:cs="Courier New" w:hint="default"/>
      </w:rPr>
    </w:lvl>
    <w:lvl w:ilvl="2" w:tplc="10000005" w:tentative="1">
      <w:start w:val="1"/>
      <w:numFmt w:val="bullet"/>
      <w:lvlText w:val=""/>
      <w:lvlJc w:val="left"/>
      <w:pPr>
        <w:ind w:left="3240" w:hanging="360"/>
      </w:pPr>
      <w:rPr>
        <w:rFonts w:ascii="Wingdings" w:hAnsi="Wingdings" w:hint="default"/>
      </w:rPr>
    </w:lvl>
    <w:lvl w:ilvl="3" w:tplc="10000001" w:tentative="1">
      <w:start w:val="1"/>
      <w:numFmt w:val="bullet"/>
      <w:lvlText w:val=""/>
      <w:lvlJc w:val="left"/>
      <w:pPr>
        <w:ind w:left="3960" w:hanging="360"/>
      </w:pPr>
      <w:rPr>
        <w:rFonts w:ascii="Symbol" w:hAnsi="Symbol" w:hint="default"/>
      </w:rPr>
    </w:lvl>
    <w:lvl w:ilvl="4" w:tplc="10000003" w:tentative="1">
      <w:start w:val="1"/>
      <w:numFmt w:val="bullet"/>
      <w:lvlText w:val="o"/>
      <w:lvlJc w:val="left"/>
      <w:pPr>
        <w:ind w:left="4680" w:hanging="360"/>
      </w:pPr>
      <w:rPr>
        <w:rFonts w:ascii="Courier New" w:hAnsi="Courier New" w:cs="Courier New" w:hint="default"/>
      </w:rPr>
    </w:lvl>
    <w:lvl w:ilvl="5" w:tplc="10000005" w:tentative="1">
      <w:start w:val="1"/>
      <w:numFmt w:val="bullet"/>
      <w:lvlText w:val=""/>
      <w:lvlJc w:val="left"/>
      <w:pPr>
        <w:ind w:left="5400" w:hanging="360"/>
      </w:pPr>
      <w:rPr>
        <w:rFonts w:ascii="Wingdings" w:hAnsi="Wingdings" w:hint="default"/>
      </w:rPr>
    </w:lvl>
    <w:lvl w:ilvl="6" w:tplc="10000001" w:tentative="1">
      <w:start w:val="1"/>
      <w:numFmt w:val="bullet"/>
      <w:lvlText w:val=""/>
      <w:lvlJc w:val="left"/>
      <w:pPr>
        <w:ind w:left="6120" w:hanging="360"/>
      </w:pPr>
      <w:rPr>
        <w:rFonts w:ascii="Symbol" w:hAnsi="Symbol" w:hint="default"/>
      </w:rPr>
    </w:lvl>
    <w:lvl w:ilvl="7" w:tplc="10000003" w:tentative="1">
      <w:start w:val="1"/>
      <w:numFmt w:val="bullet"/>
      <w:lvlText w:val="o"/>
      <w:lvlJc w:val="left"/>
      <w:pPr>
        <w:ind w:left="6840" w:hanging="360"/>
      </w:pPr>
      <w:rPr>
        <w:rFonts w:ascii="Courier New" w:hAnsi="Courier New" w:cs="Courier New" w:hint="default"/>
      </w:rPr>
    </w:lvl>
    <w:lvl w:ilvl="8" w:tplc="10000005" w:tentative="1">
      <w:start w:val="1"/>
      <w:numFmt w:val="bullet"/>
      <w:lvlText w:val=""/>
      <w:lvlJc w:val="left"/>
      <w:pPr>
        <w:ind w:left="7560" w:hanging="360"/>
      </w:pPr>
      <w:rPr>
        <w:rFonts w:ascii="Wingdings" w:hAnsi="Wingdings" w:hint="default"/>
      </w:rPr>
    </w:lvl>
  </w:abstractNum>
  <w:abstractNum w:abstractNumId="13" w15:restartNumberingAfterBreak="0">
    <w:nsid w:val="36854B5A"/>
    <w:multiLevelType w:val="hybridMultilevel"/>
    <w:tmpl w:val="30E08E3C"/>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C16534C"/>
    <w:multiLevelType w:val="hybridMultilevel"/>
    <w:tmpl w:val="213EAF58"/>
    <w:lvl w:ilvl="0" w:tplc="D41CE618">
      <w:numFmt w:val="bullet"/>
      <w:lvlText w:val="-"/>
      <w:lvlJc w:val="left"/>
      <w:pPr>
        <w:ind w:left="743" w:hanging="360"/>
      </w:pPr>
      <w:rPr>
        <w:rFonts w:ascii="Calibri" w:eastAsia="Calibri" w:hAnsi="Calibri" w:cs="Calibri" w:hint="default"/>
      </w:rPr>
    </w:lvl>
    <w:lvl w:ilvl="1" w:tplc="08130003">
      <w:start w:val="1"/>
      <w:numFmt w:val="bullet"/>
      <w:lvlText w:val="o"/>
      <w:lvlJc w:val="left"/>
      <w:pPr>
        <w:ind w:left="1463" w:hanging="360"/>
      </w:pPr>
      <w:rPr>
        <w:rFonts w:ascii="Courier New" w:hAnsi="Courier New" w:cs="Courier New" w:hint="default"/>
      </w:rPr>
    </w:lvl>
    <w:lvl w:ilvl="2" w:tplc="08130005">
      <w:start w:val="1"/>
      <w:numFmt w:val="bullet"/>
      <w:lvlText w:val=""/>
      <w:lvlJc w:val="left"/>
      <w:pPr>
        <w:ind w:left="2183" w:hanging="360"/>
      </w:pPr>
      <w:rPr>
        <w:rFonts w:ascii="Wingdings" w:hAnsi="Wingdings" w:hint="default"/>
      </w:rPr>
    </w:lvl>
    <w:lvl w:ilvl="3" w:tplc="08130001" w:tentative="1">
      <w:start w:val="1"/>
      <w:numFmt w:val="bullet"/>
      <w:lvlText w:val=""/>
      <w:lvlJc w:val="left"/>
      <w:pPr>
        <w:ind w:left="2903" w:hanging="360"/>
      </w:pPr>
      <w:rPr>
        <w:rFonts w:ascii="Symbol" w:hAnsi="Symbol" w:hint="default"/>
      </w:rPr>
    </w:lvl>
    <w:lvl w:ilvl="4" w:tplc="08130003" w:tentative="1">
      <w:start w:val="1"/>
      <w:numFmt w:val="bullet"/>
      <w:lvlText w:val="o"/>
      <w:lvlJc w:val="left"/>
      <w:pPr>
        <w:ind w:left="3623" w:hanging="360"/>
      </w:pPr>
      <w:rPr>
        <w:rFonts w:ascii="Courier New" w:hAnsi="Courier New" w:cs="Courier New" w:hint="default"/>
      </w:rPr>
    </w:lvl>
    <w:lvl w:ilvl="5" w:tplc="08130005" w:tentative="1">
      <w:start w:val="1"/>
      <w:numFmt w:val="bullet"/>
      <w:lvlText w:val=""/>
      <w:lvlJc w:val="left"/>
      <w:pPr>
        <w:ind w:left="4343" w:hanging="360"/>
      </w:pPr>
      <w:rPr>
        <w:rFonts w:ascii="Wingdings" w:hAnsi="Wingdings" w:hint="default"/>
      </w:rPr>
    </w:lvl>
    <w:lvl w:ilvl="6" w:tplc="08130001" w:tentative="1">
      <w:start w:val="1"/>
      <w:numFmt w:val="bullet"/>
      <w:lvlText w:val=""/>
      <w:lvlJc w:val="left"/>
      <w:pPr>
        <w:ind w:left="5063" w:hanging="360"/>
      </w:pPr>
      <w:rPr>
        <w:rFonts w:ascii="Symbol" w:hAnsi="Symbol" w:hint="default"/>
      </w:rPr>
    </w:lvl>
    <w:lvl w:ilvl="7" w:tplc="08130003" w:tentative="1">
      <w:start w:val="1"/>
      <w:numFmt w:val="bullet"/>
      <w:lvlText w:val="o"/>
      <w:lvlJc w:val="left"/>
      <w:pPr>
        <w:ind w:left="5783" w:hanging="360"/>
      </w:pPr>
      <w:rPr>
        <w:rFonts w:ascii="Courier New" w:hAnsi="Courier New" w:cs="Courier New" w:hint="default"/>
      </w:rPr>
    </w:lvl>
    <w:lvl w:ilvl="8" w:tplc="08130005" w:tentative="1">
      <w:start w:val="1"/>
      <w:numFmt w:val="bullet"/>
      <w:lvlText w:val=""/>
      <w:lvlJc w:val="left"/>
      <w:pPr>
        <w:ind w:left="6503" w:hanging="360"/>
      </w:pPr>
      <w:rPr>
        <w:rFonts w:ascii="Wingdings" w:hAnsi="Wingdings" w:hint="default"/>
      </w:rPr>
    </w:lvl>
  </w:abstractNum>
  <w:abstractNum w:abstractNumId="15" w15:restartNumberingAfterBreak="0">
    <w:nsid w:val="401F34C0"/>
    <w:multiLevelType w:val="hybridMultilevel"/>
    <w:tmpl w:val="4AECA1F2"/>
    <w:lvl w:ilvl="0" w:tplc="D1BA7386">
      <w:start w:val="16"/>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6" w15:restartNumberingAfterBreak="0">
    <w:nsid w:val="44187F8C"/>
    <w:multiLevelType w:val="hybridMultilevel"/>
    <w:tmpl w:val="6F5EF5EC"/>
    <w:lvl w:ilvl="0" w:tplc="FE583542">
      <w:numFmt w:val="bullet"/>
      <w:lvlText w:val="-"/>
      <w:lvlJc w:val="left"/>
      <w:pPr>
        <w:ind w:left="720" w:hanging="360"/>
      </w:pPr>
      <w:rPr>
        <w:rFonts w:ascii="Calibri" w:eastAsia="SimSun"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4AB4A493"/>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D7411B8"/>
    <w:multiLevelType w:val="hybridMultilevel"/>
    <w:tmpl w:val="4544D6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E640940"/>
    <w:multiLevelType w:val="hybridMultilevel"/>
    <w:tmpl w:val="32F0853C"/>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0" w15:restartNumberingAfterBreak="0">
    <w:nsid w:val="528463E5"/>
    <w:multiLevelType w:val="hybridMultilevel"/>
    <w:tmpl w:val="2E06254A"/>
    <w:lvl w:ilvl="0" w:tplc="11AC5D42">
      <w:start w:val="1"/>
      <w:numFmt w:val="bullet"/>
      <w:lvlText w:val=""/>
      <w:lvlJc w:val="left"/>
      <w:pPr>
        <w:ind w:left="720" w:hanging="360"/>
      </w:pPr>
      <w:rPr>
        <w:rFonts w:ascii="Symbol" w:hAnsi="Symbol" w:hint="default"/>
        <w:color w:val="auto"/>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56182E2D"/>
    <w:multiLevelType w:val="hybridMultilevel"/>
    <w:tmpl w:val="48844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B9D6668"/>
    <w:multiLevelType w:val="hybridMultilevel"/>
    <w:tmpl w:val="42F2BB8C"/>
    <w:lvl w:ilvl="0" w:tplc="D6BEB182">
      <w:numFmt w:val="bullet"/>
      <w:lvlText w:val="-"/>
      <w:lvlJc w:val="left"/>
      <w:pPr>
        <w:ind w:left="720" w:hanging="360"/>
      </w:pPr>
      <w:rPr>
        <w:rFonts w:ascii="Calibri" w:eastAsia="Aptos"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3" w15:restartNumberingAfterBreak="0">
    <w:nsid w:val="5E7506F5"/>
    <w:multiLevelType w:val="multilevel"/>
    <w:tmpl w:val="51EC1B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65ED76CD"/>
    <w:multiLevelType w:val="hybridMultilevel"/>
    <w:tmpl w:val="D0A86020"/>
    <w:lvl w:ilvl="0" w:tplc="11AC5D42">
      <w:start w:val="1"/>
      <w:numFmt w:val="bullet"/>
      <w:lvlText w:val=""/>
      <w:lvlJc w:val="left"/>
      <w:pPr>
        <w:ind w:left="720" w:hanging="360"/>
      </w:pPr>
      <w:rPr>
        <w:rFonts w:ascii="Symbol" w:hAnsi="Symbol" w:hint="default"/>
        <w:color w:val="auto"/>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66047536"/>
    <w:multiLevelType w:val="hybridMultilevel"/>
    <w:tmpl w:val="54521F18"/>
    <w:lvl w:ilvl="0" w:tplc="E57677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67D0AFA"/>
    <w:multiLevelType w:val="hybridMultilevel"/>
    <w:tmpl w:val="27902536"/>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C6DD367"/>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13E1CDD"/>
    <w:multiLevelType w:val="hybridMultilevel"/>
    <w:tmpl w:val="709C728E"/>
    <w:lvl w:ilvl="0" w:tplc="D284A9B8">
      <w:start w:val="2040"/>
      <w:numFmt w:val="bullet"/>
      <w:lvlText w:val="-"/>
      <w:lvlJc w:val="left"/>
      <w:pPr>
        <w:ind w:left="720" w:hanging="360"/>
      </w:pPr>
      <w:rPr>
        <w:rFonts w:ascii="Calibri" w:eastAsia="SimSun"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C4226C"/>
    <w:multiLevelType w:val="hybridMultilevel"/>
    <w:tmpl w:val="650CF3DE"/>
    <w:lvl w:ilvl="0" w:tplc="FFFFFFFF">
      <w:start w:val="1"/>
      <w:numFmt w:val="bullet"/>
      <w:lvlText w:val="•"/>
      <w:lvlJc w:val="left"/>
    </w:lvl>
    <w:lvl w:ilvl="1" w:tplc="11AC5D42">
      <w:start w:val="1"/>
      <w:numFmt w:val="bullet"/>
      <w:lvlText w:val=""/>
      <w:lvlJc w:val="left"/>
      <w:pPr>
        <w:ind w:left="720" w:hanging="360"/>
      </w:pPr>
      <w:rPr>
        <w:rFonts w:ascii="Symbol" w:hAnsi="Symbol" w:hint="default"/>
        <w:color w:val="auto"/>
      </w:rPr>
    </w:lvl>
    <w:lvl w:ilvl="2" w:tplc="FE583542">
      <w:numFmt w:val="bullet"/>
      <w:lvlText w:val="-"/>
      <w:lvlJc w:val="left"/>
      <w:pPr>
        <w:ind w:left="720" w:hanging="360"/>
      </w:pPr>
      <w:rPr>
        <w:rFonts w:ascii="Calibri" w:eastAsia="SimSun" w:hAnsi="Calibri" w:cs="Calibri" w:hint="default"/>
      </w:rPr>
    </w:lvl>
    <w:lvl w:ilvl="3" w:tplc="FFFFFFFF">
      <w:numFmt w:val="decimal"/>
      <w:lvlText w:val=""/>
      <w:lvlJc w:val="left"/>
    </w:lvl>
    <w:lvl w:ilvl="4" w:tplc="FFFFFFFF">
      <w:numFmt w:val="decimal"/>
      <w:lvlText w:val=""/>
      <w:lvlJc w:val="left"/>
    </w:lvl>
    <w:lvl w:ilvl="5" w:tplc="FE583542">
      <w:numFmt w:val="bullet"/>
      <w:lvlText w:val="-"/>
      <w:lvlJc w:val="left"/>
      <w:pPr>
        <w:ind w:left="720" w:hanging="360"/>
      </w:pPr>
      <w:rPr>
        <w:rFonts w:ascii="Calibri" w:eastAsia="SimSun" w:hAnsi="Calibri" w:cs="Calibri" w:hint="default"/>
      </w:rPr>
    </w:lvl>
    <w:lvl w:ilvl="6" w:tplc="FFFFFFFF">
      <w:numFmt w:val="decimal"/>
      <w:lvlText w:val=""/>
      <w:lvlJc w:val="left"/>
    </w:lvl>
    <w:lvl w:ilvl="7" w:tplc="FFFFFFFF">
      <w:numFmt w:val="decimal"/>
      <w:lvlText w:val=""/>
      <w:lvlJc w:val="left"/>
    </w:lvl>
    <w:lvl w:ilvl="8" w:tplc="FE583542">
      <w:numFmt w:val="bullet"/>
      <w:lvlText w:val="-"/>
      <w:lvlJc w:val="left"/>
      <w:pPr>
        <w:ind w:left="360" w:hanging="360"/>
      </w:pPr>
      <w:rPr>
        <w:rFonts w:ascii="Calibri" w:eastAsia="SimSun" w:hAnsi="Calibri" w:cs="Calibri" w:hint="default"/>
      </w:rPr>
    </w:lvl>
  </w:abstractNum>
  <w:abstractNum w:abstractNumId="30" w15:restartNumberingAfterBreak="0">
    <w:nsid w:val="793D7C0A"/>
    <w:multiLevelType w:val="hybridMultilevel"/>
    <w:tmpl w:val="4D2AD028"/>
    <w:lvl w:ilvl="0" w:tplc="E7AE9B48">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72208443">
    <w:abstractNumId w:val="18"/>
  </w:num>
  <w:num w:numId="2" w16cid:durableId="1696075862">
    <w:abstractNumId w:val="14"/>
  </w:num>
  <w:num w:numId="3" w16cid:durableId="364448350">
    <w:abstractNumId w:val="30"/>
  </w:num>
  <w:num w:numId="4" w16cid:durableId="578372915">
    <w:abstractNumId w:val="24"/>
  </w:num>
  <w:num w:numId="5" w16cid:durableId="1392315861">
    <w:abstractNumId w:val="1"/>
  </w:num>
  <w:num w:numId="6" w16cid:durableId="1178809182">
    <w:abstractNumId w:val="20"/>
  </w:num>
  <w:num w:numId="7" w16cid:durableId="1833375819">
    <w:abstractNumId w:val="2"/>
  </w:num>
  <w:num w:numId="8" w16cid:durableId="122233072">
    <w:abstractNumId w:val="29"/>
  </w:num>
  <w:num w:numId="9" w16cid:durableId="1661276875">
    <w:abstractNumId w:val="11"/>
  </w:num>
  <w:num w:numId="10" w16cid:durableId="522673356">
    <w:abstractNumId w:val="22"/>
  </w:num>
  <w:num w:numId="11" w16cid:durableId="905192069">
    <w:abstractNumId w:val="21"/>
  </w:num>
  <w:num w:numId="12" w16cid:durableId="1976980540">
    <w:abstractNumId w:val="13"/>
  </w:num>
  <w:num w:numId="13" w16cid:durableId="1453553440">
    <w:abstractNumId w:val="19"/>
  </w:num>
  <w:num w:numId="14" w16cid:durableId="271520989">
    <w:abstractNumId w:val="3"/>
  </w:num>
  <w:num w:numId="15" w16cid:durableId="184439107">
    <w:abstractNumId w:val="12"/>
  </w:num>
  <w:num w:numId="16" w16cid:durableId="1176459722">
    <w:abstractNumId w:val="15"/>
  </w:num>
  <w:num w:numId="17" w16cid:durableId="1281379996">
    <w:abstractNumId w:val="7"/>
  </w:num>
  <w:num w:numId="18" w16cid:durableId="324092899">
    <w:abstractNumId w:val="6"/>
  </w:num>
  <w:num w:numId="19" w16cid:durableId="1401363935">
    <w:abstractNumId w:val="0"/>
  </w:num>
  <w:num w:numId="20" w16cid:durableId="1040587698">
    <w:abstractNumId w:val="8"/>
  </w:num>
  <w:num w:numId="21" w16cid:durableId="420107457">
    <w:abstractNumId w:val="16"/>
  </w:num>
  <w:num w:numId="22" w16cid:durableId="1972518072">
    <w:abstractNumId w:val="10"/>
  </w:num>
  <w:num w:numId="23" w16cid:durableId="1988437111">
    <w:abstractNumId w:val="26"/>
  </w:num>
  <w:num w:numId="24" w16cid:durableId="1914704099">
    <w:abstractNumId w:val="17"/>
  </w:num>
  <w:num w:numId="25" w16cid:durableId="1080785464">
    <w:abstractNumId w:val="9"/>
  </w:num>
  <w:num w:numId="26" w16cid:durableId="1922248445">
    <w:abstractNumId w:val="27"/>
  </w:num>
  <w:num w:numId="27" w16cid:durableId="1349018132">
    <w:abstractNumId w:val="5"/>
  </w:num>
  <w:num w:numId="28" w16cid:durableId="1087460783">
    <w:abstractNumId w:val="25"/>
  </w:num>
  <w:num w:numId="29" w16cid:durableId="1610353868">
    <w:abstractNumId w:val="4"/>
  </w:num>
  <w:num w:numId="30" w16cid:durableId="1448163169">
    <w:abstractNumId w:val="23"/>
  </w:num>
  <w:num w:numId="31" w16cid:durableId="1417822320">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260"/>
    <w:rsid w:val="00000CE0"/>
    <w:rsid w:val="00002FB7"/>
    <w:rsid w:val="00005E17"/>
    <w:rsid w:val="00010B8C"/>
    <w:rsid w:val="000117F3"/>
    <w:rsid w:val="00013D70"/>
    <w:rsid w:val="00014850"/>
    <w:rsid w:val="00014F09"/>
    <w:rsid w:val="00016266"/>
    <w:rsid w:val="00016933"/>
    <w:rsid w:val="00016D25"/>
    <w:rsid w:val="000202BB"/>
    <w:rsid w:val="0002584E"/>
    <w:rsid w:val="00025A17"/>
    <w:rsid w:val="00027482"/>
    <w:rsid w:val="00030739"/>
    <w:rsid w:val="00031CF0"/>
    <w:rsid w:val="000334C2"/>
    <w:rsid w:val="00033C9D"/>
    <w:rsid w:val="000435FC"/>
    <w:rsid w:val="00043FDD"/>
    <w:rsid w:val="00045BE5"/>
    <w:rsid w:val="00050A76"/>
    <w:rsid w:val="00051344"/>
    <w:rsid w:val="0005195A"/>
    <w:rsid w:val="000530FD"/>
    <w:rsid w:val="00054071"/>
    <w:rsid w:val="000549E3"/>
    <w:rsid w:val="000568CA"/>
    <w:rsid w:val="0006027D"/>
    <w:rsid w:val="000604AE"/>
    <w:rsid w:val="00061190"/>
    <w:rsid w:val="00061754"/>
    <w:rsid w:val="00063F57"/>
    <w:rsid w:val="000659F6"/>
    <w:rsid w:val="00066348"/>
    <w:rsid w:val="00067B87"/>
    <w:rsid w:val="00067ED7"/>
    <w:rsid w:val="00073161"/>
    <w:rsid w:val="00073B9E"/>
    <w:rsid w:val="00080102"/>
    <w:rsid w:val="0008073D"/>
    <w:rsid w:val="00084095"/>
    <w:rsid w:val="000869BC"/>
    <w:rsid w:val="00091E90"/>
    <w:rsid w:val="0009366D"/>
    <w:rsid w:val="00095FA0"/>
    <w:rsid w:val="00096F60"/>
    <w:rsid w:val="000A01FD"/>
    <w:rsid w:val="000A0F07"/>
    <w:rsid w:val="000A0F67"/>
    <w:rsid w:val="000A10C7"/>
    <w:rsid w:val="000A3479"/>
    <w:rsid w:val="000A7F82"/>
    <w:rsid w:val="000B02B6"/>
    <w:rsid w:val="000B37F0"/>
    <w:rsid w:val="000B3C25"/>
    <w:rsid w:val="000B4E45"/>
    <w:rsid w:val="000B4E88"/>
    <w:rsid w:val="000B4F51"/>
    <w:rsid w:val="000C3706"/>
    <w:rsid w:val="000C6C6D"/>
    <w:rsid w:val="000D7982"/>
    <w:rsid w:val="000E073A"/>
    <w:rsid w:val="000E228C"/>
    <w:rsid w:val="000E34C7"/>
    <w:rsid w:val="000E3A42"/>
    <w:rsid w:val="000E3A93"/>
    <w:rsid w:val="000E4BE6"/>
    <w:rsid w:val="000E7707"/>
    <w:rsid w:val="000F1D7E"/>
    <w:rsid w:val="00101D56"/>
    <w:rsid w:val="001021D2"/>
    <w:rsid w:val="00105253"/>
    <w:rsid w:val="00111344"/>
    <w:rsid w:val="00115638"/>
    <w:rsid w:val="00117C99"/>
    <w:rsid w:val="00120195"/>
    <w:rsid w:val="00122C05"/>
    <w:rsid w:val="00122FDB"/>
    <w:rsid w:val="001254C7"/>
    <w:rsid w:val="00126944"/>
    <w:rsid w:val="00130517"/>
    <w:rsid w:val="00130A63"/>
    <w:rsid w:val="00131A4F"/>
    <w:rsid w:val="00132979"/>
    <w:rsid w:val="001332BC"/>
    <w:rsid w:val="001332E1"/>
    <w:rsid w:val="00136E24"/>
    <w:rsid w:val="0014211A"/>
    <w:rsid w:val="00142988"/>
    <w:rsid w:val="001440C6"/>
    <w:rsid w:val="001477E9"/>
    <w:rsid w:val="00150AF5"/>
    <w:rsid w:val="00154753"/>
    <w:rsid w:val="00154854"/>
    <w:rsid w:val="00154A1C"/>
    <w:rsid w:val="001555B0"/>
    <w:rsid w:val="00155B04"/>
    <w:rsid w:val="001566ED"/>
    <w:rsid w:val="00160A78"/>
    <w:rsid w:val="00160E94"/>
    <w:rsid w:val="00161197"/>
    <w:rsid w:val="00162459"/>
    <w:rsid w:val="001627B5"/>
    <w:rsid w:val="00163DFF"/>
    <w:rsid w:val="0016502B"/>
    <w:rsid w:val="001664E2"/>
    <w:rsid w:val="00167128"/>
    <w:rsid w:val="00167AA7"/>
    <w:rsid w:val="00171E2A"/>
    <w:rsid w:val="001736A0"/>
    <w:rsid w:val="0018309B"/>
    <w:rsid w:val="001831F4"/>
    <w:rsid w:val="00184ECF"/>
    <w:rsid w:val="001850B1"/>
    <w:rsid w:val="0018605B"/>
    <w:rsid w:val="001878F1"/>
    <w:rsid w:val="001908D0"/>
    <w:rsid w:val="00193275"/>
    <w:rsid w:val="00195278"/>
    <w:rsid w:val="001957FF"/>
    <w:rsid w:val="001A135D"/>
    <w:rsid w:val="001A7C45"/>
    <w:rsid w:val="001B2410"/>
    <w:rsid w:val="001B2548"/>
    <w:rsid w:val="001B78B3"/>
    <w:rsid w:val="001C0C06"/>
    <w:rsid w:val="001C190C"/>
    <w:rsid w:val="001C2C93"/>
    <w:rsid w:val="001C32F6"/>
    <w:rsid w:val="001C477E"/>
    <w:rsid w:val="001D02BD"/>
    <w:rsid w:val="001D1564"/>
    <w:rsid w:val="001E16B0"/>
    <w:rsid w:val="001E2C90"/>
    <w:rsid w:val="001E3BC1"/>
    <w:rsid w:val="001E45B6"/>
    <w:rsid w:val="001E51A3"/>
    <w:rsid w:val="001E6AE3"/>
    <w:rsid w:val="001E6FF2"/>
    <w:rsid w:val="001E7253"/>
    <w:rsid w:val="001F016D"/>
    <w:rsid w:val="001F0958"/>
    <w:rsid w:val="001F1D96"/>
    <w:rsid w:val="001F3114"/>
    <w:rsid w:val="001F34A4"/>
    <w:rsid w:val="001F66F5"/>
    <w:rsid w:val="001F68D3"/>
    <w:rsid w:val="001F74BF"/>
    <w:rsid w:val="00204349"/>
    <w:rsid w:val="00204E59"/>
    <w:rsid w:val="002052F0"/>
    <w:rsid w:val="002068FD"/>
    <w:rsid w:val="00212CA0"/>
    <w:rsid w:val="00213C2C"/>
    <w:rsid w:val="002168D0"/>
    <w:rsid w:val="002230DE"/>
    <w:rsid w:val="00223EFE"/>
    <w:rsid w:val="00224601"/>
    <w:rsid w:val="0022494F"/>
    <w:rsid w:val="0022663E"/>
    <w:rsid w:val="0022676D"/>
    <w:rsid w:val="00226AA9"/>
    <w:rsid w:val="00227784"/>
    <w:rsid w:val="0023056D"/>
    <w:rsid w:val="002319CD"/>
    <w:rsid w:val="002373BD"/>
    <w:rsid w:val="00237AAC"/>
    <w:rsid w:val="002412B1"/>
    <w:rsid w:val="00241B59"/>
    <w:rsid w:val="00242511"/>
    <w:rsid w:val="00242F70"/>
    <w:rsid w:val="00245B72"/>
    <w:rsid w:val="00253C49"/>
    <w:rsid w:val="002554EA"/>
    <w:rsid w:val="00256386"/>
    <w:rsid w:val="00257D77"/>
    <w:rsid w:val="00260516"/>
    <w:rsid w:val="0026414A"/>
    <w:rsid w:val="00270C85"/>
    <w:rsid w:val="0027322E"/>
    <w:rsid w:val="002777F9"/>
    <w:rsid w:val="0028019B"/>
    <w:rsid w:val="0028025A"/>
    <w:rsid w:val="002802F7"/>
    <w:rsid w:val="0028052D"/>
    <w:rsid w:val="00281AA4"/>
    <w:rsid w:val="00282158"/>
    <w:rsid w:val="00284872"/>
    <w:rsid w:val="00284955"/>
    <w:rsid w:val="00285ABC"/>
    <w:rsid w:val="00286FA5"/>
    <w:rsid w:val="00287649"/>
    <w:rsid w:val="00290992"/>
    <w:rsid w:val="00291B09"/>
    <w:rsid w:val="0029656F"/>
    <w:rsid w:val="002A182B"/>
    <w:rsid w:val="002A280C"/>
    <w:rsid w:val="002A29EB"/>
    <w:rsid w:val="002A3D93"/>
    <w:rsid w:val="002A4A9B"/>
    <w:rsid w:val="002A5658"/>
    <w:rsid w:val="002A6710"/>
    <w:rsid w:val="002B10F2"/>
    <w:rsid w:val="002B1273"/>
    <w:rsid w:val="002B2159"/>
    <w:rsid w:val="002B35E8"/>
    <w:rsid w:val="002B5FB0"/>
    <w:rsid w:val="002B68D7"/>
    <w:rsid w:val="002B72F3"/>
    <w:rsid w:val="002C0408"/>
    <w:rsid w:val="002C2698"/>
    <w:rsid w:val="002C2C57"/>
    <w:rsid w:val="002D066C"/>
    <w:rsid w:val="002D194A"/>
    <w:rsid w:val="002D2ADE"/>
    <w:rsid w:val="002E1F5B"/>
    <w:rsid w:val="002E266A"/>
    <w:rsid w:val="002E3038"/>
    <w:rsid w:val="002E365E"/>
    <w:rsid w:val="002E49D0"/>
    <w:rsid w:val="002F2F9E"/>
    <w:rsid w:val="002F381F"/>
    <w:rsid w:val="002F68FF"/>
    <w:rsid w:val="002F709F"/>
    <w:rsid w:val="002F73E8"/>
    <w:rsid w:val="002F7755"/>
    <w:rsid w:val="00301711"/>
    <w:rsid w:val="0030250E"/>
    <w:rsid w:val="00302FC7"/>
    <w:rsid w:val="003030A0"/>
    <w:rsid w:val="003030BF"/>
    <w:rsid w:val="0030320B"/>
    <w:rsid w:val="00305B79"/>
    <w:rsid w:val="00310AA0"/>
    <w:rsid w:val="0031194F"/>
    <w:rsid w:val="003130A1"/>
    <w:rsid w:val="00314D3B"/>
    <w:rsid w:val="00315558"/>
    <w:rsid w:val="003158EC"/>
    <w:rsid w:val="00324A47"/>
    <w:rsid w:val="00325592"/>
    <w:rsid w:val="003256A7"/>
    <w:rsid w:val="00326286"/>
    <w:rsid w:val="00326B25"/>
    <w:rsid w:val="003275E9"/>
    <w:rsid w:val="00331037"/>
    <w:rsid w:val="0033149D"/>
    <w:rsid w:val="00335522"/>
    <w:rsid w:val="0034035A"/>
    <w:rsid w:val="0034226C"/>
    <w:rsid w:val="0034256B"/>
    <w:rsid w:val="003464C9"/>
    <w:rsid w:val="00351380"/>
    <w:rsid w:val="00354498"/>
    <w:rsid w:val="003545C8"/>
    <w:rsid w:val="0035471D"/>
    <w:rsid w:val="00355FB0"/>
    <w:rsid w:val="00357250"/>
    <w:rsid w:val="003608D5"/>
    <w:rsid w:val="00365E90"/>
    <w:rsid w:val="00367211"/>
    <w:rsid w:val="00367FEC"/>
    <w:rsid w:val="00370A6B"/>
    <w:rsid w:val="00381CDC"/>
    <w:rsid w:val="00381DEA"/>
    <w:rsid w:val="00382E10"/>
    <w:rsid w:val="003856A1"/>
    <w:rsid w:val="00394100"/>
    <w:rsid w:val="00394AD0"/>
    <w:rsid w:val="0039762E"/>
    <w:rsid w:val="003976BD"/>
    <w:rsid w:val="003A09F1"/>
    <w:rsid w:val="003A4A72"/>
    <w:rsid w:val="003A4BB5"/>
    <w:rsid w:val="003A4F57"/>
    <w:rsid w:val="003B1514"/>
    <w:rsid w:val="003B32E8"/>
    <w:rsid w:val="003B48A0"/>
    <w:rsid w:val="003C14F0"/>
    <w:rsid w:val="003C217D"/>
    <w:rsid w:val="003C2685"/>
    <w:rsid w:val="003C3F40"/>
    <w:rsid w:val="003C4E7A"/>
    <w:rsid w:val="003C68D9"/>
    <w:rsid w:val="003C7328"/>
    <w:rsid w:val="003D1107"/>
    <w:rsid w:val="003D1D2A"/>
    <w:rsid w:val="003D3983"/>
    <w:rsid w:val="003D418B"/>
    <w:rsid w:val="003D4596"/>
    <w:rsid w:val="003D5577"/>
    <w:rsid w:val="003D5918"/>
    <w:rsid w:val="003D59D4"/>
    <w:rsid w:val="003E06BE"/>
    <w:rsid w:val="003E30E4"/>
    <w:rsid w:val="003E67AD"/>
    <w:rsid w:val="003E7741"/>
    <w:rsid w:val="003F0DA7"/>
    <w:rsid w:val="003F11D5"/>
    <w:rsid w:val="003F1632"/>
    <w:rsid w:val="003F1917"/>
    <w:rsid w:val="003F1DA8"/>
    <w:rsid w:val="003F3395"/>
    <w:rsid w:val="003F3B83"/>
    <w:rsid w:val="003F7FEC"/>
    <w:rsid w:val="00403DB1"/>
    <w:rsid w:val="00407D00"/>
    <w:rsid w:val="0041047A"/>
    <w:rsid w:val="00414104"/>
    <w:rsid w:val="00414547"/>
    <w:rsid w:val="0041458F"/>
    <w:rsid w:val="004149C8"/>
    <w:rsid w:val="00416DC5"/>
    <w:rsid w:val="0042245A"/>
    <w:rsid w:val="00427803"/>
    <w:rsid w:val="00427FEE"/>
    <w:rsid w:val="004301B6"/>
    <w:rsid w:val="00432490"/>
    <w:rsid w:val="0044045D"/>
    <w:rsid w:val="00440D7A"/>
    <w:rsid w:val="00446F64"/>
    <w:rsid w:val="004476F5"/>
    <w:rsid w:val="00450168"/>
    <w:rsid w:val="004544F0"/>
    <w:rsid w:val="0045713A"/>
    <w:rsid w:val="00457171"/>
    <w:rsid w:val="0045734C"/>
    <w:rsid w:val="00457625"/>
    <w:rsid w:val="004605B8"/>
    <w:rsid w:val="00464E48"/>
    <w:rsid w:val="00471A77"/>
    <w:rsid w:val="00473862"/>
    <w:rsid w:val="004762D8"/>
    <w:rsid w:val="00476B1A"/>
    <w:rsid w:val="004801A4"/>
    <w:rsid w:val="00480B49"/>
    <w:rsid w:val="00483E54"/>
    <w:rsid w:val="00484096"/>
    <w:rsid w:val="00485BFA"/>
    <w:rsid w:val="00487D31"/>
    <w:rsid w:val="0049039D"/>
    <w:rsid w:val="00492086"/>
    <w:rsid w:val="0049260F"/>
    <w:rsid w:val="00492FC4"/>
    <w:rsid w:val="004943AA"/>
    <w:rsid w:val="004957EA"/>
    <w:rsid w:val="00496936"/>
    <w:rsid w:val="004A11D2"/>
    <w:rsid w:val="004A17AB"/>
    <w:rsid w:val="004A2BA7"/>
    <w:rsid w:val="004A3B0A"/>
    <w:rsid w:val="004A442F"/>
    <w:rsid w:val="004B2113"/>
    <w:rsid w:val="004B35EE"/>
    <w:rsid w:val="004B3A65"/>
    <w:rsid w:val="004B3E24"/>
    <w:rsid w:val="004B4A7E"/>
    <w:rsid w:val="004C060C"/>
    <w:rsid w:val="004C20B9"/>
    <w:rsid w:val="004C689A"/>
    <w:rsid w:val="004C725A"/>
    <w:rsid w:val="004C7EB8"/>
    <w:rsid w:val="004D12AD"/>
    <w:rsid w:val="004D1B20"/>
    <w:rsid w:val="004D4D14"/>
    <w:rsid w:val="004D50DD"/>
    <w:rsid w:val="004D5B63"/>
    <w:rsid w:val="004D5DC8"/>
    <w:rsid w:val="004E02D6"/>
    <w:rsid w:val="004E1E01"/>
    <w:rsid w:val="004E405B"/>
    <w:rsid w:val="004E6E85"/>
    <w:rsid w:val="004E7888"/>
    <w:rsid w:val="004E7AE9"/>
    <w:rsid w:val="004E7C8A"/>
    <w:rsid w:val="004F1FBE"/>
    <w:rsid w:val="004F4E83"/>
    <w:rsid w:val="004F5101"/>
    <w:rsid w:val="004F5AD8"/>
    <w:rsid w:val="004F6A75"/>
    <w:rsid w:val="004F7C50"/>
    <w:rsid w:val="005007BE"/>
    <w:rsid w:val="00500FE9"/>
    <w:rsid w:val="0050287F"/>
    <w:rsid w:val="005034CB"/>
    <w:rsid w:val="005041B2"/>
    <w:rsid w:val="00506134"/>
    <w:rsid w:val="005065BE"/>
    <w:rsid w:val="00510B0C"/>
    <w:rsid w:val="00514E00"/>
    <w:rsid w:val="00515372"/>
    <w:rsid w:val="005153A9"/>
    <w:rsid w:val="00520223"/>
    <w:rsid w:val="00520A1A"/>
    <w:rsid w:val="00520C7A"/>
    <w:rsid w:val="005212E9"/>
    <w:rsid w:val="005214EF"/>
    <w:rsid w:val="00522D38"/>
    <w:rsid w:val="00524C8A"/>
    <w:rsid w:val="00524EAD"/>
    <w:rsid w:val="005258A5"/>
    <w:rsid w:val="00525D8B"/>
    <w:rsid w:val="005260C8"/>
    <w:rsid w:val="00527EC1"/>
    <w:rsid w:val="005333BA"/>
    <w:rsid w:val="00534D69"/>
    <w:rsid w:val="005416A1"/>
    <w:rsid w:val="00541A7A"/>
    <w:rsid w:val="005438B2"/>
    <w:rsid w:val="00546206"/>
    <w:rsid w:val="00552467"/>
    <w:rsid w:val="00557494"/>
    <w:rsid w:val="00561678"/>
    <w:rsid w:val="00562EFA"/>
    <w:rsid w:val="00565173"/>
    <w:rsid w:val="00572663"/>
    <w:rsid w:val="00576693"/>
    <w:rsid w:val="00577F44"/>
    <w:rsid w:val="00580418"/>
    <w:rsid w:val="005805A5"/>
    <w:rsid w:val="00581D9E"/>
    <w:rsid w:val="005848A3"/>
    <w:rsid w:val="00590DC8"/>
    <w:rsid w:val="005919DB"/>
    <w:rsid w:val="005A2620"/>
    <w:rsid w:val="005A4FB1"/>
    <w:rsid w:val="005A5CA5"/>
    <w:rsid w:val="005A6308"/>
    <w:rsid w:val="005A7E0B"/>
    <w:rsid w:val="005B1EA6"/>
    <w:rsid w:val="005B2502"/>
    <w:rsid w:val="005B2524"/>
    <w:rsid w:val="005B6242"/>
    <w:rsid w:val="005B7682"/>
    <w:rsid w:val="005B7CC6"/>
    <w:rsid w:val="005C0149"/>
    <w:rsid w:val="005C0D76"/>
    <w:rsid w:val="005C1832"/>
    <w:rsid w:val="005C325E"/>
    <w:rsid w:val="005C7201"/>
    <w:rsid w:val="005C7A9A"/>
    <w:rsid w:val="005D0FB8"/>
    <w:rsid w:val="005D2E61"/>
    <w:rsid w:val="005D4830"/>
    <w:rsid w:val="005D5790"/>
    <w:rsid w:val="005E2770"/>
    <w:rsid w:val="005E3A25"/>
    <w:rsid w:val="005E5B7D"/>
    <w:rsid w:val="005E67EB"/>
    <w:rsid w:val="005E6CF7"/>
    <w:rsid w:val="005E7303"/>
    <w:rsid w:val="005F0F72"/>
    <w:rsid w:val="005F1175"/>
    <w:rsid w:val="005F3A87"/>
    <w:rsid w:val="0060001C"/>
    <w:rsid w:val="00600F16"/>
    <w:rsid w:val="00602C39"/>
    <w:rsid w:val="006061E1"/>
    <w:rsid w:val="00606CA2"/>
    <w:rsid w:val="00610844"/>
    <w:rsid w:val="00611C83"/>
    <w:rsid w:val="00612F0B"/>
    <w:rsid w:val="0061656E"/>
    <w:rsid w:val="0061721F"/>
    <w:rsid w:val="00620423"/>
    <w:rsid w:val="00622ECE"/>
    <w:rsid w:val="00624986"/>
    <w:rsid w:val="006305B7"/>
    <w:rsid w:val="006310AC"/>
    <w:rsid w:val="0063179A"/>
    <w:rsid w:val="006340EB"/>
    <w:rsid w:val="00634D04"/>
    <w:rsid w:val="006452CF"/>
    <w:rsid w:val="006459A8"/>
    <w:rsid w:val="00647D3A"/>
    <w:rsid w:val="006548B6"/>
    <w:rsid w:val="00655349"/>
    <w:rsid w:val="00656CDE"/>
    <w:rsid w:val="00660064"/>
    <w:rsid w:val="006601B3"/>
    <w:rsid w:val="00675973"/>
    <w:rsid w:val="00680D19"/>
    <w:rsid w:val="00681E76"/>
    <w:rsid w:val="0068620C"/>
    <w:rsid w:val="00686323"/>
    <w:rsid w:val="00687081"/>
    <w:rsid w:val="00692018"/>
    <w:rsid w:val="00692A96"/>
    <w:rsid w:val="00693451"/>
    <w:rsid w:val="00693FA0"/>
    <w:rsid w:val="00694589"/>
    <w:rsid w:val="006959B7"/>
    <w:rsid w:val="006A1618"/>
    <w:rsid w:val="006A3CDB"/>
    <w:rsid w:val="006A534C"/>
    <w:rsid w:val="006A6825"/>
    <w:rsid w:val="006B0A2A"/>
    <w:rsid w:val="006B0AF9"/>
    <w:rsid w:val="006B54F6"/>
    <w:rsid w:val="006B5543"/>
    <w:rsid w:val="006B5809"/>
    <w:rsid w:val="006C0B3C"/>
    <w:rsid w:val="006C0F92"/>
    <w:rsid w:val="006C15BF"/>
    <w:rsid w:val="006C1903"/>
    <w:rsid w:val="006C385F"/>
    <w:rsid w:val="006D542F"/>
    <w:rsid w:val="006D5795"/>
    <w:rsid w:val="006E06A0"/>
    <w:rsid w:val="006E383D"/>
    <w:rsid w:val="006E4D83"/>
    <w:rsid w:val="006E585A"/>
    <w:rsid w:val="006E5F35"/>
    <w:rsid w:val="006E644A"/>
    <w:rsid w:val="006E661F"/>
    <w:rsid w:val="006F3FA8"/>
    <w:rsid w:val="006F76F7"/>
    <w:rsid w:val="007004B3"/>
    <w:rsid w:val="00701474"/>
    <w:rsid w:val="0070196A"/>
    <w:rsid w:val="00703ED4"/>
    <w:rsid w:val="007047BF"/>
    <w:rsid w:val="00705DB5"/>
    <w:rsid w:val="00706F84"/>
    <w:rsid w:val="0070709D"/>
    <w:rsid w:val="0071011F"/>
    <w:rsid w:val="00711C97"/>
    <w:rsid w:val="00712846"/>
    <w:rsid w:val="0071491D"/>
    <w:rsid w:val="007178CE"/>
    <w:rsid w:val="00720537"/>
    <w:rsid w:val="00720839"/>
    <w:rsid w:val="007272A1"/>
    <w:rsid w:val="0073139E"/>
    <w:rsid w:val="00731823"/>
    <w:rsid w:val="0074079C"/>
    <w:rsid w:val="007437C0"/>
    <w:rsid w:val="00744840"/>
    <w:rsid w:val="007456A0"/>
    <w:rsid w:val="007468E8"/>
    <w:rsid w:val="0075288D"/>
    <w:rsid w:val="00753D4B"/>
    <w:rsid w:val="00755F25"/>
    <w:rsid w:val="007560F8"/>
    <w:rsid w:val="0076185F"/>
    <w:rsid w:val="0076260B"/>
    <w:rsid w:val="007631DD"/>
    <w:rsid w:val="007637E6"/>
    <w:rsid w:val="00763E69"/>
    <w:rsid w:val="00765F78"/>
    <w:rsid w:val="00767CDB"/>
    <w:rsid w:val="00770A05"/>
    <w:rsid w:val="00771EB9"/>
    <w:rsid w:val="00775261"/>
    <w:rsid w:val="00776ED5"/>
    <w:rsid w:val="00776F50"/>
    <w:rsid w:val="00783B18"/>
    <w:rsid w:val="007930CC"/>
    <w:rsid w:val="0079348E"/>
    <w:rsid w:val="007950EE"/>
    <w:rsid w:val="007965F1"/>
    <w:rsid w:val="00796FF4"/>
    <w:rsid w:val="007A0C21"/>
    <w:rsid w:val="007A30E8"/>
    <w:rsid w:val="007A6862"/>
    <w:rsid w:val="007A7F04"/>
    <w:rsid w:val="007B2BF2"/>
    <w:rsid w:val="007C2C9D"/>
    <w:rsid w:val="007C4829"/>
    <w:rsid w:val="007C4F40"/>
    <w:rsid w:val="007C6E3B"/>
    <w:rsid w:val="007D0839"/>
    <w:rsid w:val="007D3B4C"/>
    <w:rsid w:val="007D4D08"/>
    <w:rsid w:val="007D746C"/>
    <w:rsid w:val="007D77DC"/>
    <w:rsid w:val="007E026C"/>
    <w:rsid w:val="007E0FA4"/>
    <w:rsid w:val="007E12CB"/>
    <w:rsid w:val="007E58DE"/>
    <w:rsid w:val="007F3029"/>
    <w:rsid w:val="007F4B27"/>
    <w:rsid w:val="007F6A4D"/>
    <w:rsid w:val="007F7E80"/>
    <w:rsid w:val="008008F5"/>
    <w:rsid w:val="00803867"/>
    <w:rsid w:val="00806508"/>
    <w:rsid w:val="00806FBB"/>
    <w:rsid w:val="008076C0"/>
    <w:rsid w:val="00807F46"/>
    <w:rsid w:val="00812069"/>
    <w:rsid w:val="00814EEA"/>
    <w:rsid w:val="00814F23"/>
    <w:rsid w:val="00815DCA"/>
    <w:rsid w:val="00816EB9"/>
    <w:rsid w:val="00824817"/>
    <w:rsid w:val="00825B4D"/>
    <w:rsid w:val="00827CCB"/>
    <w:rsid w:val="00832A8D"/>
    <w:rsid w:val="008330A5"/>
    <w:rsid w:val="0083540B"/>
    <w:rsid w:val="00835D85"/>
    <w:rsid w:val="00836792"/>
    <w:rsid w:val="0083780F"/>
    <w:rsid w:val="00837EF6"/>
    <w:rsid w:val="0084040B"/>
    <w:rsid w:val="00844321"/>
    <w:rsid w:val="00845405"/>
    <w:rsid w:val="00846657"/>
    <w:rsid w:val="008520D9"/>
    <w:rsid w:val="00852D56"/>
    <w:rsid w:val="00853A80"/>
    <w:rsid w:val="0085653C"/>
    <w:rsid w:val="00863731"/>
    <w:rsid w:val="0086469A"/>
    <w:rsid w:val="0086583A"/>
    <w:rsid w:val="008766DD"/>
    <w:rsid w:val="00880266"/>
    <w:rsid w:val="00882233"/>
    <w:rsid w:val="00882C5A"/>
    <w:rsid w:val="00883866"/>
    <w:rsid w:val="00884D28"/>
    <w:rsid w:val="00885701"/>
    <w:rsid w:val="008862ED"/>
    <w:rsid w:val="00887307"/>
    <w:rsid w:val="0089236D"/>
    <w:rsid w:val="0089288F"/>
    <w:rsid w:val="00893452"/>
    <w:rsid w:val="00894ADA"/>
    <w:rsid w:val="0089709C"/>
    <w:rsid w:val="00897508"/>
    <w:rsid w:val="008A5846"/>
    <w:rsid w:val="008A5B00"/>
    <w:rsid w:val="008A5E17"/>
    <w:rsid w:val="008B3CCE"/>
    <w:rsid w:val="008B3F21"/>
    <w:rsid w:val="008B5835"/>
    <w:rsid w:val="008B69F7"/>
    <w:rsid w:val="008B6E58"/>
    <w:rsid w:val="008B74EA"/>
    <w:rsid w:val="008B779B"/>
    <w:rsid w:val="008B7812"/>
    <w:rsid w:val="008C2073"/>
    <w:rsid w:val="008C2B4C"/>
    <w:rsid w:val="008C3155"/>
    <w:rsid w:val="008C44F7"/>
    <w:rsid w:val="008C4A2F"/>
    <w:rsid w:val="008D1403"/>
    <w:rsid w:val="008E0475"/>
    <w:rsid w:val="008E1151"/>
    <w:rsid w:val="008E1846"/>
    <w:rsid w:val="008E6787"/>
    <w:rsid w:val="008F52B7"/>
    <w:rsid w:val="008F6826"/>
    <w:rsid w:val="0090315E"/>
    <w:rsid w:val="00904709"/>
    <w:rsid w:val="00904860"/>
    <w:rsid w:val="00906588"/>
    <w:rsid w:val="0091020F"/>
    <w:rsid w:val="00910267"/>
    <w:rsid w:val="009125E9"/>
    <w:rsid w:val="0091299A"/>
    <w:rsid w:val="00914818"/>
    <w:rsid w:val="009177D1"/>
    <w:rsid w:val="00917F44"/>
    <w:rsid w:val="009256B9"/>
    <w:rsid w:val="0093153D"/>
    <w:rsid w:val="00931D47"/>
    <w:rsid w:val="00931F06"/>
    <w:rsid w:val="00932154"/>
    <w:rsid w:val="009326FE"/>
    <w:rsid w:val="00933821"/>
    <w:rsid w:val="00933B2E"/>
    <w:rsid w:val="00933F08"/>
    <w:rsid w:val="0093436F"/>
    <w:rsid w:val="009348FD"/>
    <w:rsid w:val="00935A26"/>
    <w:rsid w:val="009372D4"/>
    <w:rsid w:val="00942297"/>
    <w:rsid w:val="0094488C"/>
    <w:rsid w:val="00944A26"/>
    <w:rsid w:val="00944E06"/>
    <w:rsid w:val="0094528F"/>
    <w:rsid w:val="00950517"/>
    <w:rsid w:val="009509F2"/>
    <w:rsid w:val="00952DB3"/>
    <w:rsid w:val="009531AB"/>
    <w:rsid w:val="00955168"/>
    <w:rsid w:val="00962647"/>
    <w:rsid w:val="00963438"/>
    <w:rsid w:val="00964C5B"/>
    <w:rsid w:val="009700E0"/>
    <w:rsid w:val="00970B18"/>
    <w:rsid w:val="009725DB"/>
    <w:rsid w:val="009747F5"/>
    <w:rsid w:val="00975275"/>
    <w:rsid w:val="009762A2"/>
    <w:rsid w:val="00977E1E"/>
    <w:rsid w:val="009808E8"/>
    <w:rsid w:val="00982692"/>
    <w:rsid w:val="00984097"/>
    <w:rsid w:val="009842F9"/>
    <w:rsid w:val="0098432B"/>
    <w:rsid w:val="00997038"/>
    <w:rsid w:val="0099794E"/>
    <w:rsid w:val="00997BC6"/>
    <w:rsid w:val="00997FEA"/>
    <w:rsid w:val="009A1695"/>
    <w:rsid w:val="009A18F6"/>
    <w:rsid w:val="009A2BDD"/>
    <w:rsid w:val="009A5ED3"/>
    <w:rsid w:val="009B0794"/>
    <w:rsid w:val="009B299F"/>
    <w:rsid w:val="009B2F9D"/>
    <w:rsid w:val="009B4313"/>
    <w:rsid w:val="009B443C"/>
    <w:rsid w:val="009C26B0"/>
    <w:rsid w:val="009C40E6"/>
    <w:rsid w:val="009C4B95"/>
    <w:rsid w:val="009C6EDD"/>
    <w:rsid w:val="009D1613"/>
    <w:rsid w:val="009D3ACA"/>
    <w:rsid w:val="009D6575"/>
    <w:rsid w:val="009E15EA"/>
    <w:rsid w:val="009E253E"/>
    <w:rsid w:val="009E2BF2"/>
    <w:rsid w:val="009E308E"/>
    <w:rsid w:val="009E3640"/>
    <w:rsid w:val="009F0544"/>
    <w:rsid w:val="009F4413"/>
    <w:rsid w:val="009F6A81"/>
    <w:rsid w:val="00A00A52"/>
    <w:rsid w:val="00A00C28"/>
    <w:rsid w:val="00A011AF"/>
    <w:rsid w:val="00A01350"/>
    <w:rsid w:val="00A0238D"/>
    <w:rsid w:val="00A02ED9"/>
    <w:rsid w:val="00A03588"/>
    <w:rsid w:val="00A0411B"/>
    <w:rsid w:val="00A05A9A"/>
    <w:rsid w:val="00A05DBC"/>
    <w:rsid w:val="00A103BB"/>
    <w:rsid w:val="00A12851"/>
    <w:rsid w:val="00A148CC"/>
    <w:rsid w:val="00A14D0F"/>
    <w:rsid w:val="00A1528A"/>
    <w:rsid w:val="00A15B89"/>
    <w:rsid w:val="00A16CF9"/>
    <w:rsid w:val="00A16D54"/>
    <w:rsid w:val="00A177FC"/>
    <w:rsid w:val="00A2351E"/>
    <w:rsid w:val="00A31495"/>
    <w:rsid w:val="00A3307E"/>
    <w:rsid w:val="00A33251"/>
    <w:rsid w:val="00A3623E"/>
    <w:rsid w:val="00A40096"/>
    <w:rsid w:val="00A47609"/>
    <w:rsid w:val="00A50428"/>
    <w:rsid w:val="00A5056B"/>
    <w:rsid w:val="00A51880"/>
    <w:rsid w:val="00A529CB"/>
    <w:rsid w:val="00A5516D"/>
    <w:rsid w:val="00A55650"/>
    <w:rsid w:val="00A5643B"/>
    <w:rsid w:val="00A57A8D"/>
    <w:rsid w:val="00A609DB"/>
    <w:rsid w:val="00A60A8A"/>
    <w:rsid w:val="00A60B27"/>
    <w:rsid w:val="00A60F52"/>
    <w:rsid w:val="00A611E4"/>
    <w:rsid w:val="00A619DB"/>
    <w:rsid w:val="00A62678"/>
    <w:rsid w:val="00A63F5E"/>
    <w:rsid w:val="00A67412"/>
    <w:rsid w:val="00A713E4"/>
    <w:rsid w:val="00A7223D"/>
    <w:rsid w:val="00A767B0"/>
    <w:rsid w:val="00A77EED"/>
    <w:rsid w:val="00A81BD1"/>
    <w:rsid w:val="00A8352F"/>
    <w:rsid w:val="00A84D41"/>
    <w:rsid w:val="00A90547"/>
    <w:rsid w:val="00A94C1B"/>
    <w:rsid w:val="00A94FD0"/>
    <w:rsid w:val="00AA164C"/>
    <w:rsid w:val="00AA1ED6"/>
    <w:rsid w:val="00AA2708"/>
    <w:rsid w:val="00AA3386"/>
    <w:rsid w:val="00AA7892"/>
    <w:rsid w:val="00AB27A4"/>
    <w:rsid w:val="00AB3B08"/>
    <w:rsid w:val="00AB4ACB"/>
    <w:rsid w:val="00AB4E38"/>
    <w:rsid w:val="00AB61F2"/>
    <w:rsid w:val="00AB6D5B"/>
    <w:rsid w:val="00AC0C1D"/>
    <w:rsid w:val="00AC123E"/>
    <w:rsid w:val="00AC2458"/>
    <w:rsid w:val="00AC3393"/>
    <w:rsid w:val="00AC428D"/>
    <w:rsid w:val="00AC4549"/>
    <w:rsid w:val="00AD007A"/>
    <w:rsid w:val="00AD0D84"/>
    <w:rsid w:val="00AD193C"/>
    <w:rsid w:val="00AD2250"/>
    <w:rsid w:val="00AD232C"/>
    <w:rsid w:val="00AE0ED4"/>
    <w:rsid w:val="00AE2434"/>
    <w:rsid w:val="00AE3136"/>
    <w:rsid w:val="00AE39FB"/>
    <w:rsid w:val="00AE3F64"/>
    <w:rsid w:val="00AE5F2D"/>
    <w:rsid w:val="00AE651A"/>
    <w:rsid w:val="00AF01F4"/>
    <w:rsid w:val="00AF705C"/>
    <w:rsid w:val="00B00B36"/>
    <w:rsid w:val="00B042D1"/>
    <w:rsid w:val="00B05D4B"/>
    <w:rsid w:val="00B077AB"/>
    <w:rsid w:val="00B10E50"/>
    <w:rsid w:val="00B1236D"/>
    <w:rsid w:val="00B12C25"/>
    <w:rsid w:val="00B131A8"/>
    <w:rsid w:val="00B136D9"/>
    <w:rsid w:val="00B13FF8"/>
    <w:rsid w:val="00B15972"/>
    <w:rsid w:val="00B20034"/>
    <w:rsid w:val="00B21D78"/>
    <w:rsid w:val="00B21F66"/>
    <w:rsid w:val="00B24BBC"/>
    <w:rsid w:val="00B254B0"/>
    <w:rsid w:val="00B27071"/>
    <w:rsid w:val="00B27BFF"/>
    <w:rsid w:val="00B31A57"/>
    <w:rsid w:val="00B34094"/>
    <w:rsid w:val="00B34141"/>
    <w:rsid w:val="00B349C1"/>
    <w:rsid w:val="00B34BE5"/>
    <w:rsid w:val="00B357E5"/>
    <w:rsid w:val="00B35C12"/>
    <w:rsid w:val="00B3699A"/>
    <w:rsid w:val="00B372E5"/>
    <w:rsid w:val="00B428BA"/>
    <w:rsid w:val="00B54402"/>
    <w:rsid w:val="00B5643E"/>
    <w:rsid w:val="00B576E4"/>
    <w:rsid w:val="00B61787"/>
    <w:rsid w:val="00B625C2"/>
    <w:rsid w:val="00B64089"/>
    <w:rsid w:val="00B67213"/>
    <w:rsid w:val="00B6747B"/>
    <w:rsid w:val="00B70325"/>
    <w:rsid w:val="00B70808"/>
    <w:rsid w:val="00B72E4D"/>
    <w:rsid w:val="00B73B61"/>
    <w:rsid w:val="00B75007"/>
    <w:rsid w:val="00B76E2F"/>
    <w:rsid w:val="00B80CE6"/>
    <w:rsid w:val="00B80E31"/>
    <w:rsid w:val="00B82506"/>
    <w:rsid w:val="00B8426D"/>
    <w:rsid w:val="00B8505E"/>
    <w:rsid w:val="00B903D9"/>
    <w:rsid w:val="00B9077D"/>
    <w:rsid w:val="00B9285B"/>
    <w:rsid w:val="00B92F40"/>
    <w:rsid w:val="00B934B1"/>
    <w:rsid w:val="00B9469D"/>
    <w:rsid w:val="00B9538F"/>
    <w:rsid w:val="00BA016E"/>
    <w:rsid w:val="00BA06E6"/>
    <w:rsid w:val="00BA1322"/>
    <w:rsid w:val="00BA29F0"/>
    <w:rsid w:val="00BA4B89"/>
    <w:rsid w:val="00BA5547"/>
    <w:rsid w:val="00BB1F11"/>
    <w:rsid w:val="00BB4F0D"/>
    <w:rsid w:val="00BB566B"/>
    <w:rsid w:val="00BB625A"/>
    <w:rsid w:val="00BB7BC1"/>
    <w:rsid w:val="00BB7F41"/>
    <w:rsid w:val="00BC5020"/>
    <w:rsid w:val="00BD0C01"/>
    <w:rsid w:val="00BD0C9E"/>
    <w:rsid w:val="00BD384A"/>
    <w:rsid w:val="00BD7079"/>
    <w:rsid w:val="00BE02D8"/>
    <w:rsid w:val="00BE0C93"/>
    <w:rsid w:val="00BE0EC4"/>
    <w:rsid w:val="00BE4D9C"/>
    <w:rsid w:val="00BE5CBC"/>
    <w:rsid w:val="00BF18DF"/>
    <w:rsid w:val="00BF1F12"/>
    <w:rsid w:val="00BF3EA7"/>
    <w:rsid w:val="00BF4D9F"/>
    <w:rsid w:val="00BF652E"/>
    <w:rsid w:val="00C00484"/>
    <w:rsid w:val="00C019E6"/>
    <w:rsid w:val="00C03DD8"/>
    <w:rsid w:val="00C04793"/>
    <w:rsid w:val="00C05DE5"/>
    <w:rsid w:val="00C101BE"/>
    <w:rsid w:val="00C12956"/>
    <w:rsid w:val="00C14801"/>
    <w:rsid w:val="00C14895"/>
    <w:rsid w:val="00C25CEB"/>
    <w:rsid w:val="00C25E7C"/>
    <w:rsid w:val="00C31235"/>
    <w:rsid w:val="00C31B03"/>
    <w:rsid w:val="00C31FB1"/>
    <w:rsid w:val="00C3502A"/>
    <w:rsid w:val="00C351ED"/>
    <w:rsid w:val="00C35B91"/>
    <w:rsid w:val="00C40182"/>
    <w:rsid w:val="00C41338"/>
    <w:rsid w:val="00C42F90"/>
    <w:rsid w:val="00C43EE7"/>
    <w:rsid w:val="00C45940"/>
    <w:rsid w:val="00C4614D"/>
    <w:rsid w:val="00C539CB"/>
    <w:rsid w:val="00C53FB4"/>
    <w:rsid w:val="00C5598F"/>
    <w:rsid w:val="00C55AED"/>
    <w:rsid w:val="00C56285"/>
    <w:rsid w:val="00C6013A"/>
    <w:rsid w:val="00C60B19"/>
    <w:rsid w:val="00C61378"/>
    <w:rsid w:val="00C65CDD"/>
    <w:rsid w:val="00C66B76"/>
    <w:rsid w:val="00C67420"/>
    <w:rsid w:val="00C67BCE"/>
    <w:rsid w:val="00C720B6"/>
    <w:rsid w:val="00C72101"/>
    <w:rsid w:val="00C74D2C"/>
    <w:rsid w:val="00C856C5"/>
    <w:rsid w:val="00C85CF3"/>
    <w:rsid w:val="00C86E11"/>
    <w:rsid w:val="00C90392"/>
    <w:rsid w:val="00C9386F"/>
    <w:rsid w:val="00C946E3"/>
    <w:rsid w:val="00C9527C"/>
    <w:rsid w:val="00C95F23"/>
    <w:rsid w:val="00CA12BB"/>
    <w:rsid w:val="00CA135A"/>
    <w:rsid w:val="00CA1AE9"/>
    <w:rsid w:val="00CA1FCB"/>
    <w:rsid w:val="00CA3454"/>
    <w:rsid w:val="00CA3C69"/>
    <w:rsid w:val="00CA4271"/>
    <w:rsid w:val="00CA44E9"/>
    <w:rsid w:val="00CB02FF"/>
    <w:rsid w:val="00CB0E67"/>
    <w:rsid w:val="00CB1057"/>
    <w:rsid w:val="00CB1745"/>
    <w:rsid w:val="00CB4323"/>
    <w:rsid w:val="00CC5791"/>
    <w:rsid w:val="00CC605D"/>
    <w:rsid w:val="00CC665F"/>
    <w:rsid w:val="00CC7505"/>
    <w:rsid w:val="00CD252C"/>
    <w:rsid w:val="00CD4222"/>
    <w:rsid w:val="00CD516E"/>
    <w:rsid w:val="00CD6CCD"/>
    <w:rsid w:val="00CD71FC"/>
    <w:rsid w:val="00CE0EC9"/>
    <w:rsid w:val="00CE3489"/>
    <w:rsid w:val="00CE3F24"/>
    <w:rsid w:val="00CE44FC"/>
    <w:rsid w:val="00CF00F5"/>
    <w:rsid w:val="00CF075E"/>
    <w:rsid w:val="00CF1D1E"/>
    <w:rsid w:val="00CF27BD"/>
    <w:rsid w:val="00CF4669"/>
    <w:rsid w:val="00CF4700"/>
    <w:rsid w:val="00CF576A"/>
    <w:rsid w:val="00CF59A5"/>
    <w:rsid w:val="00CF7A70"/>
    <w:rsid w:val="00D010D2"/>
    <w:rsid w:val="00D05ABC"/>
    <w:rsid w:val="00D10373"/>
    <w:rsid w:val="00D10803"/>
    <w:rsid w:val="00D10A21"/>
    <w:rsid w:val="00D150DA"/>
    <w:rsid w:val="00D1682F"/>
    <w:rsid w:val="00D1760D"/>
    <w:rsid w:val="00D214BE"/>
    <w:rsid w:val="00D2178B"/>
    <w:rsid w:val="00D21D64"/>
    <w:rsid w:val="00D27B68"/>
    <w:rsid w:val="00D31610"/>
    <w:rsid w:val="00D3177A"/>
    <w:rsid w:val="00D320C8"/>
    <w:rsid w:val="00D345EB"/>
    <w:rsid w:val="00D37550"/>
    <w:rsid w:val="00D41A66"/>
    <w:rsid w:val="00D43C57"/>
    <w:rsid w:val="00D470B6"/>
    <w:rsid w:val="00D50D34"/>
    <w:rsid w:val="00D5116F"/>
    <w:rsid w:val="00D63322"/>
    <w:rsid w:val="00D65368"/>
    <w:rsid w:val="00D66CDD"/>
    <w:rsid w:val="00D66F5C"/>
    <w:rsid w:val="00D71060"/>
    <w:rsid w:val="00D733E1"/>
    <w:rsid w:val="00D7610F"/>
    <w:rsid w:val="00D811CE"/>
    <w:rsid w:val="00D834E4"/>
    <w:rsid w:val="00D86311"/>
    <w:rsid w:val="00D8678A"/>
    <w:rsid w:val="00D86823"/>
    <w:rsid w:val="00D90296"/>
    <w:rsid w:val="00D903B0"/>
    <w:rsid w:val="00D9062C"/>
    <w:rsid w:val="00D913DF"/>
    <w:rsid w:val="00D91674"/>
    <w:rsid w:val="00D917C9"/>
    <w:rsid w:val="00D918A9"/>
    <w:rsid w:val="00D92645"/>
    <w:rsid w:val="00D955F6"/>
    <w:rsid w:val="00D958B0"/>
    <w:rsid w:val="00D95B37"/>
    <w:rsid w:val="00D97488"/>
    <w:rsid w:val="00D97A19"/>
    <w:rsid w:val="00DA1870"/>
    <w:rsid w:val="00DA2B3E"/>
    <w:rsid w:val="00DA3725"/>
    <w:rsid w:val="00DA4745"/>
    <w:rsid w:val="00DA7806"/>
    <w:rsid w:val="00DB1D9B"/>
    <w:rsid w:val="00DB5438"/>
    <w:rsid w:val="00DB5E27"/>
    <w:rsid w:val="00DB7137"/>
    <w:rsid w:val="00DB7C12"/>
    <w:rsid w:val="00DC03F6"/>
    <w:rsid w:val="00DC148A"/>
    <w:rsid w:val="00DC1708"/>
    <w:rsid w:val="00DC3909"/>
    <w:rsid w:val="00DC417C"/>
    <w:rsid w:val="00DC52DE"/>
    <w:rsid w:val="00DD1EFC"/>
    <w:rsid w:val="00DD6D2D"/>
    <w:rsid w:val="00DE6FD3"/>
    <w:rsid w:val="00DF0ECD"/>
    <w:rsid w:val="00E0261E"/>
    <w:rsid w:val="00E02C9B"/>
    <w:rsid w:val="00E03FDF"/>
    <w:rsid w:val="00E0422A"/>
    <w:rsid w:val="00E075E0"/>
    <w:rsid w:val="00E10816"/>
    <w:rsid w:val="00E10B02"/>
    <w:rsid w:val="00E10B85"/>
    <w:rsid w:val="00E12C59"/>
    <w:rsid w:val="00E12F45"/>
    <w:rsid w:val="00E21143"/>
    <w:rsid w:val="00E21519"/>
    <w:rsid w:val="00E355CC"/>
    <w:rsid w:val="00E357DA"/>
    <w:rsid w:val="00E401D3"/>
    <w:rsid w:val="00E4546F"/>
    <w:rsid w:val="00E46F6F"/>
    <w:rsid w:val="00E46F7E"/>
    <w:rsid w:val="00E52306"/>
    <w:rsid w:val="00E53212"/>
    <w:rsid w:val="00E53384"/>
    <w:rsid w:val="00E54C29"/>
    <w:rsid w:val="00E55523"/>
    <w:rsid w:val="00E569B5"/>
    <w:rsid w:val="00E62561"/>
    <w:rsid w:val="00E71CE5"/>
    <w:rsid w:val="00E731D4"/>
    <w:rsid w:val="00E77515"/>
    <w:rsid w:val="00E84976"/>
    <w:rsid w:val="00E87E7D"/>
    <w:rsid w:val="00E9236D"/>
    <w:rsid w:val="00E9786C"/>
    <w:rsid w:val="00EB2710"/>
    <w:rsid w:val="00EB370E"/>
    <w:rsid w:val="00EB5EEB"/>
    <w:rsid w:val="00EB5F58"/>
    <w:rsid w:val="00EB71E2"/>
    <w:rsid w:val="00EB78CD"/>
    <w:rsid w:val="00EC0988"/>
    <w:rsid w:val="00EC23C8"/>
    <w:rsid w:val="00EC73D8"/>
    <w:rsid w:val="00ED2E44"/>
    <w:rsid w:val="00ED3A71"/>
    <w:rsid w:val="00EE18F9"/>
    <w:rsid w:val="00EE5725"/>
    <w:rsid w:val="00EE613C"/>
    <w:rsid w:val="00EE686B"/>
    <w:rsid w:val="00EE76DF"/>
    <w:rsid w:val="00EE7D56"/>
    <w:rsid w:val="00EF1F11"/>
    <w:rsid w:val="00EF401B"/>
    <w:rsid w:val="00F01689"/>
    <w:rsid w:val="00F056D1"/>
    <w:rsid w:val="00F064C4"/>
    <w:rsid w:val="00F12EA6"/>
    <w:rsid w:val="00F14511"/>
    <w:rsid w:val="00F21278"/>
    <w:rsid w:val="00F2254E"/>
    <w:rsid w:val="00F22A37"/>
    <w:rsid w:val="00F2424C"/>
    <w:rsid w:val="00F2759B"/>
    <w:rsid w:val="00F3149A"/>
    <w:rsid w:val="00F31ED3"/>
    <w:rsid w:val="00F3305C"/>
    <w:rsid w:val="00F35083"/>
    <w:rsid w:val="00F35227"/>
    <w:rsid w:val="00F368CD"/>
    <w:rsid w:val="00F375FC"/>
    <w:rsid w:val="00F458B2"/>
    <w:rsid w:val="00F47F80"/>
    <w:rsid w:val="00F51029"/>
    <w:rsid w:val="00F510F0"/>
    <w:rsid w:val="00F51218"/>
    <w:rsid w:val="00F514AC"/>
    <w:rsid w:val="00F53522"/>
    <w:rsid w:val="00F5524D"/>
    <w:rsid w:val="00F56123"/>
    <w:rsid w:val="00F56CB0"/>
    <w:rsid w:val="00F63785"/>
    <w:rsid w:val="00F6489E"/>
    <w:rsid w:val="00F65E08"/>
    <w:rsid w:val="00F66EED"/>
    <w:rsid w:val="00F70EA0"/>
    <w:rsid w:val="00F77EC1"/>
    <w:rsid w:val="00F80081"/>
    <w:rsid w:val="00F86B94"/>
    <w:rsid w:val="00F87771"/>
    <w:rsid w:val="00F900A7"/>
    <w:rsid w:val="00F90D41"/>
    <w:rsid w:val="00F91C1C"/>
    <w:rsid w:val="00F928C8"/>
    <w:rsid w:val="00F92CBD"/>
    <w:rsid w:val="00F93EA0"/>
    <w:rsid w:val="00F95260"/>
    <w:rsid w:val="00F95FEA"/>
    <w:rsid w:val="00F96D38"/>
    <w:rsid w:val="00F9794D"/>
    <w:rsid w:val="00FA02A3"/>
    <w:rsid w:val="00FA121D"/>
    <w:rsid w:val="00FA4CB6"/>
    <w:rsid w:val="00FA4EF5"/>
    <w:rsid w:val="00FA54DE"/>
    <w:rsid w:val="00FA609C"/>
    <w:rsid w:val="00FA6699"/>
    <w:rsid w:val="00FA780B"/>
    <w:rsid w:val="00FB032F"/>
    <w:rsid w:val="00FB3FE2"/>
    <w:rsid w:val="00FC6F73"/>
    <w:rsid w:val="00FC7D6F"/>
    <w:rsid w:val="00FD23CB"/>
    <w:rsid w:val="00FD3645"/>
    <w:rsid w:val="00FD41EB"/>
    <w:rsid w:val="00FD5A5E"/>
    <w:rsid w:val="00FD6110"/>
    <w:rsid w:val="00FE0B29"/>
    <w:rsid w:val="00FE1BC7"/>
    <w:rsid w:val="00FE41BB"/>
    <w:rsid w:val="00FE451A"/>
    <w:rsid w:val="00FF0A30"/>
    <w:rsid w:val="00FF0A67"/>
    <w:rsid w:val="00FF22E5"/>
    <w:rsid w:val="00FF284B"/>
    <w:rsid w:val="00FF3230"/>
    <w:rsid w:val="00FF50AD"/>
    <w:rsid w:val="00FF57E3"/>
    <w:rsid w:val="00FF6FED"/>
    <w:rsid w:val="00FF762B"/>
    <w:rsid w:val="00FF7EB2"/>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4A0FB"/>
  <w15:docId w15:val="{10AEAF1D-4BA3-442C-8CAF-BDFC443B8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0C6"/>
  </w:style>
  <w:style w:type="paragraph" w:styleId="Heading1">
    <w:name w:val="heading 1"/>
    <w:basedOn w:val="Normal"/>
    <w:next w:val="Normal"/>
    <w:link w:val="Heading1Char"/>
    <w:uiPriority w:val="9"/>
    <w:qFormat/>
    <w:rsid w:val="00A400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26051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E678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B4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5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260"/>
    <w:rPr>
      <w:rFonts w:ascii="Tahoma" w:hAnsi="Tahoma" w:cs="Tahoma"/>
      <w:sz w:val="16"/>
      <w:szCs w:val="16"/>
    </w:rPr>
  </w:style>
  <w:style w:type="paragraph" w:styleId="Header">
    <w:name w:val="header"/>
    <w:basedOn w:val="Normal"/>
    <w:link w:val="HeaderChar"/>
    <w:uiPriority w:val="99"/>
    <w:unhideWhenUsed/>
    <w:rsid w:val="00F952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260"/>
  </w:style>
  <w:style w:type="paragraph" w:styleId="Footer">
    <w:name w:val="footer"/>
    <w:basedOn w:val="Normal"/>
    <w:link w:val="FooterChar"/>
    <w:uiPriority w:val="99"/>
    <w:unhideWhenUsed/>
    <w:rsid w:val="00F952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260"/>
  </w:style>
  <w:style w:type="paragraph" w:customStyle="1" w:styleId="Standard">
    <w:name w:val="Standard"/>
    <w:rsid w:val="00F95260"/>
    <w:pPr>
      <w:suppressAutoHyphens/>
      <w:autoSpaceDN w:val="0"/>
      <w:spacing w:after="0" w:line="240" w:lineRule="auto"/>
      <w:textAlignment w:val="baseline"/>
    </w:pPr>
    <w:rPr>
      <w:rFonts w:ascii="Calibri" w:eastAsia="SimSun" w:hAnsi="Calibri" w:cs="Times New Roman"/>
      <w:color w:val="00000A"/>
      <w:kern w:val="3"/>
      <w:lang w:eastAsia="en-GB"/>
    </w:rPr>
  </w:style>
  <w:style w:type="character" w:styleId="CommentReference">
    <w:name w:val="annotation reference"/>
    <w:basedOn w:val="DefaultParagraphFont"/>
    <w:uiPriority w:val="99"/>
    <w:semiHidden/>
    <w:unhideWhenUsed/>
    <w:rsid w:val="00FD6110"/>
    <w:rPr>
      <w:sz w:val="16"/>
      <w:szCs w:val="16"/>
    </w:rPr>
  </w:style>
  <w:style w:type="paragraph" w:styleId="CommentText">
    <w:name w:val="annotation text"/>
    <w:basedOn w:val="Normal"/>
    <w:link w:val="CommentTextChar"/>
    <w:uiPriority w:val="99"/>
    <w:semiHidden/>
    <w:unhideWhenUsed/>
    <w:rsid w:val="00FD6110"/>
    <w:pPr>
      <w:spacing w:line="240" w:lineRule="auto"/>
    </w:pPr>
    <w:rPr>
      <w:sz w:val="20"/>
      <w:szCs w:val="20"/>
    </w:rPr>
  </w:style>
  <w:style w:type="character" w:customStyle="1" w:styleId="CommentTextChar">
    <w:name w:val="Comment Text Char"/>
    <w:basedOn w:val="DefaultParagraphFont"/>
    <w:link w:val="CommentText"/>
    <w:uiPriority w:val="99"/>
    <w:semiHidden/>
    <w:rsid w:val="00FD6110"/>
    <w:rPr>
      <w:sz w:val="20"/>
      <w:szCs w:val="20"/>
    </w:rPr>
  </w:style>
  <w:style w:type="paragraph" w:styleId="CommentSubject">
    <w:name w:val="annotation subject"/>
    <w:basedOn w:val="CommentText"/>
    <w:next w:val="CommentText"/>
    <w:link w:val="CommentSubjectChar"/>
    <w:uiPriority w:val="99"/>
    <w:semiHidden/>
    <w:unhideWhenUsed/>
    <w:rsid w:val="00FD6110"/>
    <w:rPr>
      <w:b/>
      <w:bCs/>
    </w:rPr>
  </w:style>
  <w:style w:type="character" w:customStyle="1" w:styleId="CommentSubjectChar">
    <w:name w:val="Comment Subject Char"/>
    <w:basedOn w:val="CommentTextChar"/>
    <w:link w:val="CommentSubject"/>
    <w:uiPriority w:val="99"/>
    <w:semiHidden/>
    <w:rsid w:val="00FD6110"/>
    <w:rPr>
      <w:b/>
      <w:bCs/>
      <w:sz w:val="20"/>
      <w:szCs w:val="20"/>
    </w:rPr>
  </w:style>
  <w:style w:type="paragraph" w:customStyle="1" w:styleId="Default">
    <w:name w:val="Default"/>
    <w:rsid w:val="00C74D2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B4E88"/>
    <w:pPr>
      <w:ind w:left="720"/>
      <w:contextualSpacing/>
    </w:pPr>
  </w:style>
  <w:style w:type="table" w:styleId="TableGrid">
    <w:name w:val="Table Grid"/>
    <w:basedOn w:val="TableNormal"/>
    <w:uiPriority w:val="59"/>
    <w:rsid w:val="00FF5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0516"/>
    <w:rPr>
      <w:rFonts w:ascii="Times New Roman" w:eastAsia="Times New Roman" w:hAnsi="Times New Roman" w:cs="Times New Roman"/>
      <w:b/>
      <w:bCs/>
      <w:sz w:val="36"/>
      <w:szCs w:val="36"/>
      <w:lang w:val="es-ES"/>
    </w:rPr>
  </w:style>
  <w:style w:type="character" w:styleId="Hyperlink">
    <w:name w:val="Hyperlink"/>
    <w:basedOn w:val="DefaultParagraphFont"/>
    <w:uiPriority w:val="99"/>
    <w:unhideWhenUsed/>
    <w:rsid w:val="008B5835"/>
    <w:rPr>
      <w:color w:val="0000FF" w:themeColor="hyperlink"/>
      <w:u w:val="single"/>
    </w:rPr>
  </w:style>
  <w:style w:type="character" w:styleId="UnresolvedMention">
    <w:name w:val="Unresolved Mention"/>
    <w:basedOn w:val="DefaultParagraphFont"/>
    <w:uiPriority w:val="99"/>
    <w:semiHidden/>
    <w:unhideWhenUsed/>
    <w:rsid w:val="008B5835"/>
    <w:rPr>
      <w:color w:val="605E5C"/>
      <w:shd w:val="clear" w:color="auto" w:fill="E1DFDD"/>
    </w:rPr>
  </w:style>
  <w:style w:type="character" w:customStyle="1" w:styleId="Heading4Char">
    <w:name w:val="Heading 4 Char"/>
    <w:basedOn w:val="DefaultParagraphFont"/>
    <w:link w:val="Heading4"/>
    <w:uiPriority w:val="9"/>
    <w:semiHidden/>
    <w:rsid w:val="007D3B4C"/>
    <w:rPr>
      <w:rFonts w:asciiTheme="majorHAnsi" w:eastAsiaTheme="majorEastAsia" w:hAnsiTheme="majorHAnsi" w:cstheme="majorBidi"/>
      <w:i/>
      <w:iCs/>
      <w:color w:val="365F91" w:themeColor="accent1" w:themeShade="BF"/>
    </w:rPr>
  </w:style>
  <w:style w:type="paragraph" w:customStyle="1" w:styleId="timeline-navigationlistitem">
    <w:name w:val="timeline-navigation__list__item"/>
    <w:basedOn w:val="Normal"/>
    <w:rsid w:val="003B48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bel">
    <w:name w:val="label"/>
    <w:basedOn w:val="DefaultParagraphFont"/>
    <w:rsid w:val="003B48A0"/>
  </w:style>
  <w:style w:type="character" w:styleId="FollowedHyperlink">
    <w:name w:val="FollowedHyperlink"/>
    <w:basedOn w:val="DefaultParagraphFont"/>
    <w:uiPriority w:val="99"/>
    <w:semiHidden/>
    <w:unhideWhenUsed/>
    <w:rsid w:val="00AC4549"/>
    <w:rPr>
      <w:color w:val="800080" w:themeColor="followedHyperlink"/>
      <w:u w:val="single"/>
    </w:rPr>
  </w:style>
  <w:style w:type="paragraph" w:styleId="NormalWeb">
    <w:name w:val="Normal (Web)"/>
    <w:basedOn w:val="Normal"/>
    <w:uiPriority w:val="99"/>
    <w:unhideWhenUsed/>
    <w:rsid w:val="00AF705C"/>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36E24"/>
    <w:pPr>
      <w:spacing w:after="0" w:line="240" w:lineRule="auto"/>
    </w:pPr>
  </w:style>
  <w:style w:type="paragraph" w:customStyle="1" w:styleId="pf0">
    <w:name w:val="pf0"/>
    <w:basedOn w:val="Normal"/>
    <w:rsid w:val="00837E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37EF6"/>
    <w:rPr>
      <w:rFonts w:ascii="Segoe UI" w:hAnsi="Segoe UI" w:cs="Segoe UI" w:hint="default"/>
      <w:sz w:val="18"/>
      <w:szCs w:val="18"/>
    </w:rPr>
  </w:style>
  <w:style w:type="character" w:styleId="Strong">
    <w:name w:val="Strong"/>
    <w:basedOn w:val="DefaultParagraphFont"/>
    <w:uiPriority w:val="22"/>
    <w:qFormat/>
    <w:rsid w:val="00B8505E"/>
    <w:rPr>
      <w:b/>
      <w:bCs/>
    </w:rPr>
  </w:style>
  <w:style w:type="character" w:customStyle="1" w:styleId="erplproduct-published-date">
    <w:name w:val="erpl_product-published-date"/>
    <w:basedOn w:val="DefaultParagraphFont"/>
    <w:rsid w:val="00E401D3"/>
  </w:style>
  <w:style w:type="character" w:customStyle="1" w:styleId="sr-only">
    <w:name w:val="sr-only"/>
    <w:basedOn w:val="DefaultParagraphFont"/>
    <w:rsid w:val="00E401D3"/>
  </w:style>
  <w:style w:type="character" w:customStyle="1" w:styleId="Heading3Char">
    <w:name w:val="Heading 3 Char"/>
    <w:basedOn w:val="DefaultParagraphFont"/>
    <w:link w:val="Heading3"/>
    <w:uiPriority w:val="9"/>
    <w:semiHidden/>
    <w:rsid w:val="008E6787"/>
    <w:rPr>
      <w:rFonts w:asciiTheme="majorHAnsi" w:eastAsiaTheme="majorEastAsia" w:hAnsiTheme="majorHAnsi" w:cstheme="majorBidi"/>
      <w:color w:val="243F60" w:themeColor="accent1" w:themeShade="7F"/>
      <w:sz w:val="24"/>
      <w:szCs w:val="24"/>
    </w:rPr>
  </w:style>
  <w:style w:type="character" w:customStyle="1" w:styleId="t-item">
    <w:name w:val="t-item"/>
    <w:basedOn w:val="DefaultParagraphFont"/>
    <w:rsid w:val="008E6787"/>
  </w:style>
  <w:style w:type="paragraph" w:customStyle="1" w:styleId="text-20">
    <w:name w:val="text-20"/>
    <w:basedOn w:val="Normal"/>
    <w:rsid w:val="00045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40096"/>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unhideWhenUsed/>
    <w:rsid w:val="00B12C25"/>
    <w:pPr>
      <w:spacing w:after="0" w:line="240" w:lineRule="auto"/>
    </w:pPr>
    <w:rPr>
      <w:rFonts w:ascii="Calibri" w:hAnsi="Calibri" w:cs="Calibri"/>
      <w:sz w:val="20"/>
      <w:szCs w:val="20"/>
      <w:lang w:eastAsia="da-DK"/>
      <w14:ligatures w14:val="standardContextual"/>
    </w:rPr>
  </w:style>
  <w:style w:type="character" w:customStyle="1" w:styleId="FootnoteTextChar">
    <w:name w:val="Footnote Text Char"/>
    <w:basedOn w:val="DefaultParagraphFont"/>
    <w:link w:val="FootnoteText"/>
    <w:uiPriority w:val="99"/>
    <w:rsid w:val="00B12C25"/>
    <w:rPr>
      <w:rFonts w:ascii="Calibri" w:hAnsi="Calibri" w:cs="Calibri"/>
      <w:sz w:val="20"/>
      <w:szCs w:val="20"/>
      <w:lang w:val="es-ES" w:eastAsia="da-DK"/>
      <w14:ligatures w14:val="standardContextual"/>
    </w:rPr>
  </w:style>
  <w:style w:type="character" w:styleId="FootnoteReference">
    <w:name w:val="footnote reference"/>
    <w:basedOn w:val="DefaultParagraphFont"/>
    <w:link w:val="CharCharChar1"/>
    <w:uiPriority w:val="99"/>
    <w:semiHidden/>
    <w:unhideWhenUsed/>
    <w:rsid w:val="00B12C25"/>
    <w:rPr>
      <w:vertAlign w:val="superscript"/>
    </w:rPr>
  </w:style>
  <w:style w:type="paragraph" w:customStyle="1" w:styleId="CharCharChar1">
    <w:name w:val="Char Char Char1"/>
    <w:basedOn w:val="Normal"/>
    <w:link w:val="FootnoteReference"/>
    <w:uiPriority w:val="99"/>
    <w:rsid w:val="0050287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9306">
      <w:bodyDiv w:val="1"/>
      <w:marLeft w:val="0"/>
      <w:marRight w:val="0"/>
      <w:marTop w:val="0"/>
      <w:marBottom w:val="0"/>
      <w:divBdr>
        <w:top w:val="none" w:sz="0" w:space="0" w:color="auto"/>
        <w:left w:val="none" w:sz="0" w:space="0" w:color="auto"/>
        <w:bottom w:val="none" w:sz="0" w:space="0" w:color="auto"/>
        <w:right w:val="none" w:sz="0" w:space="0" w:color="auto"/>
      </w:divBdr>
    </w:div>
    <w:div w:id="238057747">
      <w:bodyDiv w:val="1"/>
      <w:marLeft w:val="0"/>
      <w:marRight w:val="0"/>
      <w:marTop w:val="0"/>
      <w:marBottom w:val="0"/>
      <w:divBdr>
        <w:top w:val="none" w:sz="0" w:space="0" w:color="auto"/>
        <w:left w:val="none" w:sz="0" w:space="0" w:color="auto"/>
        <w:bottom w:val="none" w:sz="0" w:space="0" w:color="auto"/>
        <w:right w:val="none" w:sz="0" w:space="0" w:color="auto"/>
      </w:divBdr>
    </w:div>
    <w:div w:id="337394343">
      <w:bodyDiv w:val="1"/>
      <w:marLeft w:val="0"/>
      <w:marRight w:val="0"/>
      <w:marTop w:val="0"/>
      <w:marBottom w:val="0"/>
      <w:divBdr>
        <w:top w:val="none" w:sz="0" w:space="0" w:color="auto"/>
        <w:left w:val="none" w:sz="0" w:space="0" w:color="auto"/>
        <w:bottom w:val="none" w:sz="0" w:space="0" w:color="auto"/>
        <w:right w:val="none" w:sz="0" w:space="0" w:color="auto"/>
      </w:divBdr>
    </w:div>
    <w:div w:id="498813120">
      <w:bodyDiv w:val="1"/>
      <w:marLeft w:val="0"/>
      <w:marRight w:val="0"/>
      <w:marTop w:val="0"/>
      <w:marBottom w:val="0"/>
      <w:divBdr>
        <w:top w:val="none" w:sz="0" w:space="0" w:color="auto"/>
        <w:left w:val="none" w:sz="0" w:space="0" w:color="auto"/>
        <w:bottom w:val="none" w:sz="0" w:space="0" w:color="auto"/>
        <w:right w:val="none" w:sz="0" w:space="0" w:color="auto"/>
      </w:divBdr>
    </w:div>
    <w:div w:id="581373776">
      <w:bodyDiv w:val="1"/>
      <w:marLeft w:val="0"/>
      <w:marRight w:val="0"/>
      <w:marTop w:val="0"/>
      <w:marBottom w:val="0"/>
      <w:divBdr>
        <w:top w:val="none" w:sz="0" w:space="0" w:color="auto"/>
        <w:left w:val="none" w:sz="0" w:space="0" w:color="auto"/>
        <w:bottom w:val="none" w:sz="0" w:space="0" w:color="auto"/>
        <w:right w:val="none" w:sz="0" w:space="0" w:color="auto"/>
      </w:divBdr>
    </w:div>
    <w:div w:id="669450803">
      <w:bodyDiv w:val="1"/>
      <w:marLeft w:val="0"/>
      <w:marRight w:val="0"/>
      <w:marTop w:val="0"/>
      <w:marBottom w:val="0"/>
      <w:divBdr>
        <w:top w:val="none" w:sz="0" w:space="0" w:color="auto"/>
        <w:left w:val="none" w:sz="0" w:space="0" w:color="auto"/>
        <w:bottom w:val="none" w:sz="0" w:space="0" w:color="auto"/>
        <w:right w:val="none" w:sz="0" w:space="0" w:color="auto"/>
      </w:divBdr>
    </w:div>
    <w:div w:id="706763127">
      <w:bodyDiv w:val="1"/>
      <w:marLeft w:val="0"/>
      <w:marRight w:val="0"/>
      <w:marTop w:val="0"/>
      <w:marBottom w:val="0"/>
      <w:divBdr>
        <w:top w:val="none" w:sz="0" w:space="0" w:color="auto"/>
        <w:left w:val="none" w:sz="0" w:space="0" w:color="auto"/>
        <w:bottom w:val="none" w:sz="0" w:space="0" w:color="auto"/>
        <w:right w:val="none" w:sz="0" w:space="0" w:color="auto"/>
      </w:divBdr>
    </w:div>
    <w:div w:id="723600929">
      <w:bodyDiv w:val="1"/>
      <w:marLeft w:val="0"/>
      <w:marRight w:val="0"/>
      <w:marTop w:val="0"/>
      <w:marBottom w:val="0"/>
      <w:divBdr>
        <w:top w:val="none" w:sz="0" w:space="0" w:color="auto"/>
        <w:left w:val="none" w:sz="0" w:space="0" w:color="auto"/>
        <w:bottom w:val="none" w:sz="0" w:space="0" w:color="auto"/>
        <w:right w:val="none" w:sz="0" w:space="0" w:color="auto"/>
      </w:divBdr>
    </w:div>
    <w:div w:id="754324309">
      <w:bodyDiv w:val="1"/>
      <w:marLeft w:val="0"/>
      <w:marRight w:val="0"/>
      <w:marTop w:val="0"/>
      <w:marBottom w:val="0"/>
      <w:divBdr>
        <w:top w:val="none" w:sz="0" w:space="0" w:color="auto"/>
        <w:left w:val="none" w:sz="0" w:space="0" w:color="auto"/>
        <w:bottom w:val="none" w:sz="0" w:space="0" w:color="auto"/>
        <w:right w:val="none" w:sz="0" w:space="0" w:color="auto"/>
      </w:divBdr>
    </w:div>
    <w:div w:id="756710846">
      <w:bodyDiv w:val="1"/>
      <w:marLeft w:val="0"/>
      <w:marRight w:val="0"/>
      <w:marTop w:val="0"/>
      <w:marBottom w:val="0"/>
      <w:divBdr>
        <w:top w:val="none" w:sz="0" w:space="0" w:color="auto"/>
        <w:left w:val="none" w:sz="0" w:space="0" w:color="auto"/>
        <w:bottom w:val="none" w:sz="0" w:space="0" w:color="auto"/>
        <w:right w:val="none" w:sz="0" w:space="0" w:color="auto"/>
      </w:divBdr>
    </w:div>
    <w:div w:id="787701804">
      <w:bodyDiv w:val="1"/>
      <w:marLeft w:val="0"/>
      <w:marRight w:val="0"/>
      <w:marTop w:val="0"/>
      <w:marBottom w:val="0"/>
      <w:divBdr>
        <w:top w:val="none" w:sz="0" w:space="0" w:color="auto"/>
        <w:left w:val="none" w:sz="0" w:space="0" w:color="auto"/>
        <w:bottom w:val="none" w:sz="0" w:space="0" w:color="auto"/>
        <w:right w:val="none" w:sz="0" w:space="0" w:color="auto"/>
      </w:divBdr>
      <w:divsChild>
        <w:div w:id="148401017">
          <w:marLeft w:val="0"/>
          <w:marRight w:val="0"/>
          <w:marTop w:val="0"/>
          <w:marBottom w:val="300"/>
          <w:divBdr>
            <w:top w:val="none" w:sz="0" w:space="0" w:color="auto"/>
            <w:left w:val="none" w:sz="0" w:space="0" w:color="auto"/>
            <w:bottom w:val="none" w:sz="0" w:space="0" w:color="auto"/>
            <w:right w:val="none" w:sz="0" w:space="0" w:color="auto"/>
          </w:divBdr>
          <w:divsChild>
            <w:div w:id="1597178233">
              <w:marLeft w:val="0"/>
              <w:marRight w:val="0"/>
              <w:marTop w:val="0"/>
              <w:marBottom w:val="0"/>
              <w:divBdr>
                <w:top w:val="none" w:sz="0" w:space="0" w:color="auto"/>
                <w:left w:val="none" w:sz="0" w:space="0" w:color="auto"/>
                <w:bottom w:val="none" w:sz="0" w:space="0" w:color="auto"/>
                <w:right w:val="none" w:sz="0" w:space="0" w:color="auto"/>
              </w:divBdr>
              <w:divsChild>
                <w:div w:id="117082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116383">
          <w:marLeft w:val="0"/>
          <w:marRight w:val="0"/>
          <w:marTop w:val="0"/>
          <w:marBottom w:val="300"/>
          <w:divBdr>
            <w:top w:val="none" w:sz="0" w:space="0" w:color="auto"/>
            <w:left w:val="none" w:sz="0" w:space="0" w:color="auto"/>
            <w:bottom w:val="none" w:sz="0" w:space="0" w:color="auto"/>
            <w:right w:val="none" w:sz="0" w:space="0" w:color="auto"/>
          </w:divBdr>
          <w:divsChild>
            <w:div w:id="1261067090">
              <w:marLeft w:val="0"/>
              <w:marRight w:val="0"/>
              <w:marTop w:val="0"/>
              <w:marBottom w:val="0"/>
              <w:divBdr>
                <w:top w:val="none" w:sz="0" w:space="0" w:color="auto"/>
                <w:left w:val="none" w:sz="0" w:space="0" w:color="auto"/>
                <w:bottom w:val="none" w:sz="0" w:space="0" w:color="auto"/>
                <w:right w:val="none" w:sz="0" w:space="0" w:color="auto"/>
              </w:divBdr>
              <w:divsChild>
                <w:div w:id="7520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2825">
          <w:marLeft w:val="0"/>
          <w:marRight w:val="0"/>
          <w:marTop w:val="0"/>
          <w:marBottom w:val="0"/>
          <w:divBdr>
            <w:top w:val="none" w:sz="0" w:space="0" w:color="auto"/>
            <w:left w:val="none" w:sz="0" w:space="0" w:color="auto"/>
            <w:bottom w:val="none" w:sz="0" w:space="0" w:color="auto"/>
            <w:right w:val="none" w:sz="0" w:space="0" w:color="auto"/>
          </w:divBdr>
          <w:divsChild>
            <w:div w:id="8507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848673">
      <w:bodyDiv w:val="1"/>
      <w:marLeft w:val="0"/>
      <w:marRight w:val="0"/>
      <w:marTop w:val="0"/>
      <w:marBottom w:val="0"/>
      <w:divBdr>
        <w:top w:val="none" w:sz="0" w:space="0" w:color="auto"/>
        <w:left w:val="none" w:sz="0" w:space="0" w:color="auto"/>
        <w:bottom w:val="none" w:sz="0" w:space="0" w:color="auto"/>
        <w:right w:val="none" w:sz="0" w:space="0" w:color="auto"/>
      </w:divBdr>
    </w:div>
    <w:div w:id="891501322">
      <w:bodyDiv w:val="1"/>
      <w:marLeft w:val="0"/>
      <w:marRight w:val="0"/>
      <w:marTop w:val="0"/>
      <w:marBottom w:val="0"/>
      <w:divBdr>
        <w:top w:val="none" w:sz="0" w:space="0" w:color="auto"/>
        <w:left w:val="none" w:sz="0" w:space="0" w:color="auto"/>
        <w:bottom w:val="none" w:sz="0" w:space="0" w:color="auto"/>
        <w:right w:val="none" w:sz="0" w:space="0" w:color="auto"/>
      </w:divBdr>
    </w:div>
    <w:div w:id="923302275">
      <w:bodyDiv w:val="1"/>
      <w:marLeft w:val="0"/>
      <w:marRight w:val="0"/>
      <w:marTop w:val="0"/>
      <w:marBottom w:val="0"/>
      <w:divBdr>
        <w:top w:val="none" w:sz="0" w:space="0" w:color="auto"/>
        <w:left w:val="none" w:sz="0" w:space="0" w:color="auto"/>
        <w:bottom w:val="none" w:sz="0" w:space="0" w:color="auto"/>
        <w:right w:val="none" w:sz="0" w:space="0" w:color="auto"/>
      </w:divBdr>
    </w:div>
    <w:div w:id="970597672">
      <w:bodyDiv w:val="1"/>
      <w:marLeft w:val="0"/>
      <w:marRight w:val="0"/>
      <w:marTop w:val="0"/>
      <w:marBottom w:val="0"/>
      <w:divBdr>
        <w:top w:val="none" w:sz="0" w:space="0" w:color="auto"/>
        <w:left w:val="none" w:sz="0" w:space="0" w:color="auto"/>
        <w:bottom w:val="none" w:sz="0" w:space="0" w:color="auto"/>
        <w:right w:val="none" w:sz="0" w:space="0" w:color="auto"/>
      </w:divBdr>
    </w:div>
    <w:div w:id="991373077">
      <w:bodyDiv w:val="1"/>
      <w:marLeft w:val="0"/>
      <w:marRight w:val="0"/>
      <w:marTop w:val="0"/>
      <w:marBottom w:val="0"/>
      <w:divBdr>
        <w:top w:val="none" w:sz="0" w:space="0" w:color="auto"/>
        <w:left w:val="none" w:sz="0" w:space="0" w:color="auto"/>
        <w:bottom w:val="none" w:sz="0" w:space="0" w:color="auto"/>
        <w:right w:val="none" w:sz="0" w:space="0" w:color="auto"/>
      </w:divBdr>
      <w:divsChild>
        <w:div w:id="1323123912">
          <w:marLeft w:val="0"/>
          <w:marRight w:val="0"/>
          <w:marTop w:val="0"/>
          <w:marBottom w:val="0"/>
          <w:divBdr>
            <w:top w:val="none" w:sz="0" w:space="0" w:color="auto"/>
            <w:left w:val="none" w:sz="0" w:space="0" w:color="auto"/>
            <w:bottom w:val="none" w:sz="0" w:space="0" w:color="auto"/>
            <w:right w:val="none" w:sz="0" w:space="0" w:color="auto"/>
          </w:divBdr>
        </w:div>
        <w:div w:id="1656642358">
          <w:marLeft w:val="0"/>
          <w:marRight w:val="0"/>
          <w:marTop w:val="0"/>
          <w:marBottom w:val="0"/>
          <w:divBdr>
            <w:top w:val="none" w:sz="0" w:space="0" w:color="auto"/>
            <w:left w:val="none" w:sz="0" w:space="0" w:color="auto"/>
            <w:bottom w:val="none" w:sz="0" w:space="0" w:color="auto"/>
            <w:right w:val="none" w:sz="0" w:space="0" w:color="auto"/>
          </w:divBdr>
        </w:div>
      </w:divsChild>
    </w:div>
    <w:div w:id="1021514822">
      <w:bodyDiv w:val="1"/>
      <w:marLeft w:val="0"/>
      <w:marRight w:val="0"/>
      <w:marTop w:val="0"/>
      <w:marBottom w:val="0"/>
      <w:divBdr>
        <w:top w:val="none" w:sz="0" w:space="0" w:color="auto"/>
        <w:left w:val="none" w:sz="0" w:space="0" w:color="auto"/>
        <w:bottom w:val="none" w:sz="0" w:space="0" w:color="auto"/>
        <w:right w:val="none" w:sz="0" w:space="0" w:color="auto"/>
      </w:divBdr>
    </w:div>
    <w:div w:id="1053507178">
      <w:bodyDiv w:val="1"/>
      <w:marLeft w:val="0"/>
      <w:marRight w:val="0"/>
      <w:marTop w:val="0"/>
      <w:marBottom w:val="0"/>
      <w:divBdr>
        <w:top w:val="none" w:sz="0" w:space="0" w:color="auto"/>
        <w:left w:val="none" w:sz="0" w:space="0" w:color="auto"/>
        <w:bottom w:val="none" w:sz="0" w:space="0" w:color="auto"/>
        <w:right w:val="none" w:sz="0" w:space="0" w:color="auto"/>
      </w:divBdr>
    </w:div>
    <w:div w:id="1066756451">
      <w:bodyDiv w:val="1"/>
      <w:marLeft w:val="0"/>
      <w:marRight w:val="0"/>
      <w:marTop w:val="0"/>
      <w:marBottom w:val="0"/>
      <w:divBdr>
        <w:top w:val="none" w:sz="0" w:space="0" w:color="auto"/>
        <w:left w:val="none" w:sz="0" w:space="0" w:color="auto"/>
        <w:bottom w:val="none" w:sz="0" w:space="0" w:color="auto"/>
        <w:right w:val="none" w:sz="0" w:space="0" w:color="auto"/>
      </w:divBdr>
    </w:div>
    <w:div w:id="1127893668">
      <w:bodyDiv w:val="1"/>
      <w:marLeft w:val="0"/>
      <w:marRight w:val="0"/>
      <w:marTop w:val="0"/>
      <w:marBottom w:val="0"/>
      <w:divBdr>
        <w:top w:val="none" w:sz="0" w:space="0" w:color="auto"/>
        <w:left w:val="none" w:sz="0" w:space="0" w:color="auto"/>
        <w:bottom w:val="none" w:sz="0" w:space="0" w:color="auto"/>
        <w:right w:val="none" w:sz="0" w:space="0" w:color="auto"/>
      </w:divBdr>
      <w:divsChild>
        <w:div w:id="997344587">
          <w:marLeft w:val="0"/>
          <w:marRight w:val="0"/>
          <w:marTop w:val="0"/>
          <w:marBottom w:val="0"/>
          <w:divBdr>
            <w:top w:val="none" w:sz="0" w:space="0" w:color="auto"/>
            <w:left w:val="none" w:sz="0" w:space="0" w:color="auto"/>
            <w:bottom w:val="none" w:sz="0" w:space="0" w:color="auto"/>
            <w:right w:val="none" w:sz="0" w:space="0" w:color="auto"/>
          </w:divBdr>
          <w:divsChild>
            <w:div w:id="187912079">
              <w:marLeft w:val="0"/>
              <w:marRight w:val="0"/>
              <w:marTop w:val="0"/>
              <w:marBottom w:val="0"/>
              <w:divBdr>
                <w:top w:val="none" w:sz="0" w:space="0" w:color="auto"/>
                <w:left w:val="none" w:sz="0" w:space="0" w:color="auto"/>
                <w:bottom w:val="none" w:sz="0" w:space="0" w:color="auto"/>
                <w:right w:val="none" w:sz="0" w:space="0" w:color="auto"/>
              </w:divBdr>
              <w:divsChild>
                <w:div w:id="1256014416">
                  <w:marLeft w:val="0"/>
                  <w:marRight w:val="0"/>
                  <w:marTop w:val="0"/>
                  <w:marBottom w:val="0"/>
                  <w:divBdr>
                    <w:top w:val="none" w:sz="0" w:space="0" w:color="auto"/>
                    <w:left w:val="none" w:sz="0" w:space="0" w:color="auto"/>
                    <w:bottom w:val="none" w:sz="0" w:space="0" w:color="auto"/>
                    <w:right w:val="none" w:sz="0" w:space="0" w:color="auto"/>
                  </w:divBdr>
                  <w:divsChild>
                    <w:div w:id="1819572034">
                      <w:marLeft w:val="0"/>
                      <w:marRight w:val="0"/>
                      <w:marTop w:val="0"/>
                      <w:marBottom w:val="0"/>
                      <w:divBdr>
                        <w:top w:val="none" w:sz="0" w:space="0" w:color="auto"/>
                        <w:left w:val="none" w:sz="0" w:space="0" w:color="auto"/>
                        <w:bottom w:val="none" w:sz="0" w:space="0" w:color="auto"/>
                        <w:right w:val="none" w:sz="0" w:space="0" w:color="auto"/>
                      </w:divBdr>
                      <w:divsChild>
                        <w:div w:id="1070734050">
                          <w:marLeft w:val="0"/>
                          <w:marRight w:val="0"/>
                          <w:marTop w:val="0"/>
                          <w:marBottom w:val="0"/>
                          <w:divBdr>
                            <w:top w:val="none" w:sz="0" w:space="0" w:color="auto"/>
                            <w:left w:val="none" w:sz="0" w:space="0" w:color="auto"/>
                            <w:bottom w:val="none" w:sz="0" w:space="0" w:color="auto"/>
                            <w:right w:val="none" w:sz="0" w:space="0" w:color="auto"/>
                          </w:divBdr>
                          <w:divsChild>
                            <w:div w:id="513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063">
      <w:bodyDiv w:val="1"/>
      <w:marLeft w:val="0"/>
      <w:marRight w:val="0"/>
      <w:marTop w:val="0"/>
      <w:marBottom w:val="0"/>
      <w:divBdr>
        <w:top w:val="none" w:sz="0" w:space="0" w:color="auto"/>
        <w:left w:val="none" w:sz="0" w:space="0" w:color="auto"/>
        <w:bottom w:val="none" w:sz="0" w:space="0" w:color="auto"/>
        <w:right w:val="none" w:sz="0" w:space="0" w:color="auto"/>
      </w:divBdr>
    </w:div>
    <w:div w:id="1146321405">
      <w:bodyDiv w:val="1"/>
      <w:marLeft w:val="0"/>
      <w:marRight w:val="0"/>
      <w:marTop w:val="0"/>
      <w:marBottom w:val="0"/>
      <w:divBdr>
        <w:top w:val="none" w:sz="0" w:space="0" w:color="auto"/>
        <w:left w:val="none" w:sz="0" w:space="0" w:color="auto"/>
        <w:bottom w:val="none" w:sz="0" w:space="0" w:color="auto"/>
        <w:right w:val="none" w:sz="0" w:space="0" w:color="auto"/>
      </w:divBdr>
    </w:div>
    <w:div w:id="1147437041">
      <w:bodyDiv w:val="1"/>
      <w:marLeft w:val="0"/>
      <w:marRight w:val="0"/>
      <w:marTop w:val="0"/>
      <w:marBottom w:val="0"/>
      <w:divBdr>
        <w:top w:val="none" w:sz="0" w:space="0" w:color="auto"/>
        <w:left w:val="none" w:sz="0" w:space="0" w:color="auto"/>
        <w:bottom w:val="none" w:sz="0" w:space="0" w:color="auto"/>
        <w:right w:val="none" w:sz="0" w:space="0" w:color="auto"/>
      </w:divBdr>
    </w:div>
    <w:div w:id="1187212406">
      <w:bodyDiv w:val="1"/>
      <w:marLeft w:val="0"/>
      <w:marRight w:val="0"/>
      <w:marTop w:val="0"/>
      <w:marBottom w:val="0"/>
      <w:divBdr>
        <w:top w:val="none" w:sz="0" w:space="0" w:color="auto"/>
        <w:left w:val="none" w:sz="0" w:space="0" w:color="auto"/>
        <w:bottom w:val="none" w:sz="0" w:space="0" w:color="auto"/>
        <w:right w:val="none" w:sz="0" w:space="0" w:color="auto"/>
      </w:divBdr>
    </w:div>
    <w:div w:id="1320891113">
      <w:bodyDiv w:val="1"/>
      <w:marLeft w:val="0"/>
      <w:marRight w:val="0"/>
      <w:marTop w:val="0"/>
      <w:marBottom w:val="0"/>
      <w:divBdr>
        <w:top w:val="none" w:sz="0" w:space="0" w:color="auto"/>
        <w:left w:val="none" w:sz="0" w:space="0" w:color="auto"/>
        <w:bottom w:val="none" w:sz="0" w:space="0" w:color="auto"/>
        <w:right w:val="none" w:sz="0" w:space="0" w:color="auto"/>
      </w:divBdr>
    </w:div>
    <w:div w:id="1325158325">
      <w:bodyDiv w:val="1"/>
      <w:marLeft w:val="0"/>
      <w:marRight w:val="0"/>
      <w:marTop w:val="0"/>
      <w:marBottom w:val="0"/>
      <w:divBdr>
        <w:top w:val="none" w:sz="0" w:space="0" w:color="auto"/>
        <w:left w:val="none" w:sz="0" w:space="0" w:color="auto"/>
        <w:bottom w:val="none" w:sz="0" w:space="0" w:color="auto"/>
        <w:right w:val="none" w:sz="0" w:space="0" w:color="auto"/>
      </w:divBdr>
    </w:div>
    <w:div w:id="1446533970">
      <w:bodyDiv w:val="1"/>
      <w:marLeft w:val="0"/>
      <w:marRight w:val="0"/>
      <w:marTop w:val="0"/>
      <w:marBottom w:val="0"/>
      <w:divBdr>
        <w:top w:val="none" w:sz="0" w:space="0" w:color="auto"/>
        <w:left w:val="none" w:sz="0" w:space="0" w:color="auto"/>
        <w:bottom w:val="none" w:sz="0" w:space="0" w:color="auto"/>
        <w:right w:val="none" w:sz="0" w:space="0" w:color="auto"/>
      </w:divBdr>
    </w:div>
    <w:div w:id="1495607978">
      <w:bodyDiv w:val="1"/>
      <w:marLeft w:val="0"/>
      <w:marRight w:val="0"/>
      <w:marTop w:val="0"/>
      <w:marBottom w:val="0"/>
      <w:divBdr>
        <w:top w:val="none" w:sz="0" w:space="0" w:color="auto"/>
        <w:left w:val="none" w:sz="0" w:space="0" w:color="auto"/>
        <w:bottom w:val="none" w:sz="0" w:space="0" w:color="auto"/>
        <w:right w:val="none" w:sz="0" w:space="0" w:color="auto"/>
      </w:divBdr>
    </w:div>
    <w:div w:id="1527672192">
      <w:bodyDiv w:val="1"/>
      <w:marLeft w:val="0"/>
      <w:marRight w:val="0"/>
      <w:marTop w:val="0"/>
      <w:marBottom w:val="0"/>
      <w:divBdr>
        <w:top w:val="none" w:sz="0" w:space="0" w:color="auto"/>
        <w:left w:val="none" w:sz="0" w:space="0" w:color="auto"/>
        <w:bottom w:val="none" w:sz="0" w:space="0" w:color="auto"/>
        <w:right w:val="none" w:sz="0" w:space="0" w:color="auto"/>
      </w:divBdr>
    </w:div>
    <w:div w:id="1558004123">
      <w:bodyDiv w:val="1"/>
      <w:marLeft w:val="0"/>
      <w:marRight w:val="0"/>
      <w:marTop w:val="0"/>
      <w:marBottom w:val="0"/>
      <w:divBdr>
        <w:top w:val="none" w:sz="0" w:space="0" w:color="auto"/>
        <w:left w:val="none" w:sz="0" w:space="0" w:color="auto"/>
        <w:bottom w:val="none" w:sz="0" w:space="0" w:color="auto"/>
        <w:right w:val="none" w:sz="0" w:space="0" w:color="auto"/>
      </w:divBdr>
    </w:div>
    <w:div w:id="1611550328">
      <w:bodyDiv w:val="1"/>
      <w:marLeft w:val="0"/>
      <w:marRight w:val="0"/>
      <w:marTop w:val="0"/>
      <w:marBottom w:val="0"/>
      <w:divBdr>
        <w:top w:val="none" w:sz="0" w:space="0" w:color="auto"/>
        <w:left w:val="none" w:sz="0" w:space="0" w:color="auto"/>
        <w:bottom w:val="none" w:sz="0" w:space="0" w:color="auto"/>
        <w:right w:val="none" w:sz="0" w:space="0" w:color="auto"/>
      </w:divBdr>
    </w:div>
    <w:div w:id="1645936740">
      <w:bodyDiv w:val="1"/>
      <w:marLeft w:val="0"/>
      <w:marRight w:val="0"/>
      <w:marTop w:val="0"/>
      <w:marBottom w:val="0"/>
      <w:divBdr>
        <w:top w:val="none" w:sz="0" w:space="0" w:color="auto"/>
        <w:left w:val="none" w:sz="0" w:space="0" w:color="auto"/>
        <w:bottom w:val="none" w:sz="0" w:space="0" w:color="auto"/>
        <w:right w:val="none" w:sz="0" w:space="0" w:color="auto"/>
      </w:divBdr>
    </w:div>
    <w:div w:id="1681077549">
      <w:bodyDiv w:val="1"/>
      <w:marLeft w:val="0"/>
      <w:marRight w:val="0"/>
      <w:marTop w:val="0"/>
      <w:marBottom w:val="0"/>
      <w:divBdr>
        <w:top w:val="none" w:sz="0" w:space="0" w:color="auto"/>
        <w:left w:val="none" w:sz="0" w:space="0" w:color="auto"/>
        <w:bottom w:val="none" w:sz="0" w:space="0" w:color="auto"/>
        <w:right w:val="none" w:sz="0" w:space="0" w:color="auto"/>
      </w:divBdr>
      <w:divsChild>
        <w:div w:id="1553931375">
          <w:marLeft w:val="0"/>
          <w:marRight w:val="0"/>
          <w:marTop w:val="0"/>
          <w:marBottom w:val="0"/>
          <w:divBdr>
            <w:top w:val="none" w:sz="0" w:space="0" w:color="auto"/>
            <w:left w:val="none" w:sz="0" w:space="0" w:color="auto"/>
            <w:bottom w:val="none" w:sz="0" w:space="0" w:color="auto"/>
            <w:right w:val="none" w:sz="0" w:space="0" w:color="auto"/>
          </w:divBdr>
          <w:divsChild>
            <w:div w:id="54788495">
              <w:marLeft w:val="0"/>
              <w:marRight w:val="0"/>
              <w:marTop w:val="0"/>
              <w:marBottom w:val="0"/>
              <w:divBdr>
                <w:top w:val="none" w:sz="0" w:space="0" w:color="auto"/>
                <w:left w:val="none" w:sz="0" w:space="0" w:color="auto"/>
                <w:bottom w:val="none" w:sz="0" w:space="0" w:color="auto"/>
                <w:right w:val="none" w:sz="0" w:space="0" w:color="auto"/>
              </w:divBdr>
            </w:div>
            <w:div w:id="809245951">
              <w:marLeft w:val="0"/>
              <w:marRight w:val="0"/>
              <w:marTop w:val="0"/>
              <w:marBottom w:val="0"/>
              <w:divBdr>
                <w:top w:val="none" w:sz="0" w:space="0" w:color="auto"/>
                <w:left w:val="none" w:sz="0" w:space="0" w:color="auto"/>
                <w:bottom w:val="none" w:sz="0" w:space="0" w:color="auto"/>
                <w:right w:val="none" w:sz="0" w:space="0" w:color="auto"/>
              </w:divBdr>
            </w:div>
          </w:divsChild>
        </w:div>
        <w:div w:id="1859463956">
          <w:marLeft w:val="0"/>
          <w:marRight w:val="0"/>
          <w:marTop w:val="0"/>
          <w:marBottom w:val="0"/>
          <w:divBdr>
            <w:top w:val="none" w:sz="0" w:space="0" w:color="auto"/>
            <w:left w:val="none" w:sz="0" w:space="0" w:color="auto"/>
            <w:bottom w:val="none" w:sz="0" w:space="0" w:color="auto"/>
            <w:right w:val="none" w:sz="0" w:space="0" w:color="auto"/>
          </w:divBdr>
          <w:divsChild>
            <w:div w:id="313918253">
              <w:marLeft w:val="0"/>
              <w:marRight w:val="0"/>
              <w:marTop w:val="0"/>
              <w:marBottom w:val="0"/>
              <w:divBdr>
                <w:top w:val="none" w:sz="0" w:space="0" w:color="auto"/>
                <w:left w:val="none" w:sz="0" w:space="0" w:color="auto"/>
                <w:bottom w:val="none" w:sz="0" w:space="0" w:color="auto"/>
                <w:right w:val="none" w:sz="0" w:space="0" w:color="auto"/>
              </w:divBdr>
            </w:div>
            <w:div w:id="191669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95588">
      <w:bodyDiv w:val="1"/>
      <w:marLeft w:val="0"/>
      <w:marRight w:val="0"/>
      <w:marTop w:val="0"/>
      <w:marBottom w:val="0"/>
      <w:divBdr>
        <w:top w:val="none" w:sz="0" w:space="0" w:color="auto"/>
        <w:left w:val="none" w:sz="0" w:space="0" w:color="auto"/>
        <w:bottom w:val="none" w:sz="0" w:space="0" w:color="auto"/>
        <w:right w:val="none" w:sz="0" w:space="0" w:color="auto"/>
      </w:divBdr>
    </w:div>
    <w:div w:id="1702893916">
      <w:bodyDiv w:val="1"/>
      <w:marLeft w:val="0"/>
      <w:marRight w:val="0"/>
      <w:marTop w:val="0"/>
      <w:marBottom w:val="0"/>
      <w:divBdr>
        <w:top w:val="none" w:sz="0" w:space="0" w:color="auto"/>
        <w:left w:val="none" w:sz="0" w:space="0" w:color="auto"/>
        <w:bottom w:val="none" w:sz="0" w:space="0" w:color="auto"/>
        <w:right w:val="none" w:sz="0" w:space="0" w:color="auto"/>
      </w:divBdr>
    </w:div>
    <w:div w:id="1771775182">
      <w:bodyDiv w:val="1"/>
      <w:marLeft w:val="0"/>
      <w:marRight w:val="0"/>
      <w:marTop w:val="0"/>
      <w:marBottom w:val="0"/>
      <w:divBdr>
        <w:top w:val="none" w:sz="0" w:space="0" w:color="auto"/>
        <w:left w:val="none" w:sz="0" w:space="0" w:color="auto"/>
        <w:bottom w:val="none" w:sz="0" w:space="0" w:color="auto"/>
        <w:right w:val="none" w:sz="0" w:space="0" w:color="auto"/>
      </w:divBdr>
    </w:div>
    <w:div w:id="1842770014">
      <w:bodyDiv w:val="1"/>
      <w:marLeft w:val="0"/>
      <w:marRight w:val="0"/>
      <w:marTop w:val="0"/>
      <w:marBottom w:val="0"/>
      <w:divBdr>
        <w:top w:val="none" w:sz="0" w:space="0" w:color="auto"/>
        <w:left w:val="none" w:sz="0" w:space="0" w:color="auto"/>
        <w:bottom w:val="none" w:sz="0" w:space="0" w:color="auto"/>
        <w:right w:val="none" w:sz="0" w:space="0" w:color="auto"/>
      </w:divBdr>
    </w:div>
    <w:div w:id="1843006005">
      <w:bodyDiv w:val="1"/>
      <w:marLeft w:val="0"/>
      <w:marRight w:val="0"/>
      <w:marTop w:val="0"/>
      <w:marBottom w:val="0"/>
      <w:divBdr>
        <w:top w:val="none" w:sz="0" w:space="0" w:color="auto"/>
        <w:left w:val="none" w:sz="0" w:space="0" w:color="auto"/>
        <w:bottom w:val="none" w:sz="0" w:space="0" w:color="auto"/>
        <w:right w:val="none" w:sz="0" w:space="0" w:color="auto"/>
      </w:divBdr>
    </w:div>
    <w:div w:id="2079210754">
      <w:bodyDiv w:val="1"/>
      <w:marLeft w:val="0"/>
      <w:marRight w:val="0"/>
      <w:marTop w:val="0"/>
      <w:marBottom w:val="0"/>
      <w:divBdr>
        <w:top w:val="none" w:sz="0" w:space="0" w:color="auto"/>
        <w:left w:val="none" w:sz="0" w:space="0" w:color="auto"/>
        <w:bottom w:val="none" w:sz="0" w:space="0" w:color="auto"/>
        <w:right w:val="none" w:sz="0" w:space="0" w:color="auto"/>
      </w:divBdr>
    </w:div>
    <w:div w:id="2093043969">
      <w:bodyDiv w:val="1"/>
      <w:marLeft w:val="0"/>
      <w:marRight w:val="0"/>
      <w:marTop w:val="0"/>
      <w:marBottom w:val="0"/>
      <w:divBdr>
        <w:top w:val="none" w:sz="0" w:space="0" w:color="auto"/>
        <w:left w:val="none" w:sz="0" w:space="0" w:color="auto"/>
        <w:bottom w:val="none" w:sz="0" w:space="0" w:color="auto"/>
        <w:right w:val="none" w:sz="0" w:space="0" w:color="auto"/>
      </w:divBdr>
      <w:divsChild>
        <w:div w:id="137192171">
          <w:marLeft w:val="-150"/>
          <w:marRight w:val="-150"/>
          <w:marTop w:val="0"/>
          <w:marBottom w:val="0"/>
          <w:divBdr>
            <w:top w:val="none" w:sz="0" w:space="0" w:color="auto"/>
            <w:left w:val="none" w:sz="0" w:space="0" w:color="auto"/>
            <w:bottom w:val="none" w:sz="0" w:space="0" w:color="auto"/>
            <w:right w:val="none" w:sz="0" w:space="0" w:color="auto"/>
          </w:divBdr>
          <w:divsChild>
            <w:div w:id="1550147517">
              <w:marLeft w:val="0"/>
              <w:marRight w:val="0"/>
              <w:marTop w:val="0"/>
              <w:marBottom w:val="0"/>
              <w:divBdr>
                <w:top w:val="none" w:sz="0" w:space="0" w:color="auto"/>
                <w:left w:val="none" w:sz="0" w:space="0" w:color="auto"/>
                <w:bottom w:val="none" w:sz="0" w:space="0" w:color="auto"/>
                <w:right w:val="none" w:sz="0" w:space="0" w:color="auto"/>
              </w:divBdr>
              <w:divsChild>
                <w:div w:id="1134518181">
                  <w:marLeft w:val="0"/>
                  <w:marRight w:val="0"/>
                  <w:marTop w:val="0"/>
                  <w:marBottom w:val="0"/>
                  <w:divBdr>
                    <w:top w:val="none" w:sz="0" w:space="0" w:color="auto"/>
                    <w:left w:val="none" w:sz="0" w:space="0" w:color="auto"/>
                    <w:bottom w:val="none" w:sz="0" w:space="0" w:color="auto"/>
                    <w:right w:val="none" w:sz="0" w:space="0" w:color="auto"/>
                  </w:divBdr>
                  <w:divsChild>
                    <w:div w:id="181891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3155">
              <w:marLeft w:val="0"/>
              <w:marRight w:val="0"/>
              <w:marTop w:val="0"/>
              <w:marBottom w:val="0"/>
              <w:divBdr>
                <w:top w:val="none" w:sz="0" w:space="0" w:color="auto"/>
                <w:left w:val="none" w:sz="0" w:space="0" w:color="auto"/>
                <w:bottom w:val="none" w:sz="0" w:space="0" w:color="auto"/>
                <w:right w:val="none" w:sz="0" w:space="0" w:color="auto"/>
              </w:divBdr>
              <w:divsChild>
                <w:div w:id="2133399753">
                  <w:marLeft w:val="0"/>
                  <w:marRight w:val="0"/>
                  <w:marTop w:val="0"/>
                  <w:marBottom w:val="0"/>
                  <w:divBdr>
                    <w:top w:val="none" w:sz="0" w:space="0" w:color="auto"/>
                    <w:left w:val="none" w:sz="0" w:space="0" w:color="auto"/>
                    <w:bottom w:val="none" w:sz="0" w:space="0" w:color="auto"/>
                    <w:right w:val="none" w:sz="0" w:space="0" w:color="auto"/>
                  </w:divBdr>
                  <w:divsChild>
                    <w:div w:id="98600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4140">
          <w:marLeft w:val="-150"/>
          <w:marRight w:val="-150"/>
          <w:marTop w:val="0"/>
          <w:marBottom w:val="0"/>
          <w:divBdr>
            <w:top w:val="none" w:sz="0" w:space="0" w:color="auto"/>
            <w:left w:val="none" w:sz="0" w:space="0" w:color="auto"/>
            <w:bottom w:val="none" w:sz="0" w:space="0" w:color="auto"/>
            <w:right w:val="none" w:sz="0" w:space="0" w:color="auto"/>
          </w:divBdr>
          <w:divsChild>
            <w:div w:id="776756933">
              <w:marLeft w:val="1470"/>
              <w:marRight w:val="0"/>
              <w:marTop w:val="0"/>
              <w:marBottom w:val="0"/>
              <w:divBdr>
                <w:top w:val="none" w:sz="0" w:space="0" w:color="auto"/>
                <w:left w:val="none" w:sz="0" w:space="0" w:color="auto"/>
                <w:bottom w:val="none" w:sz="0" w:space="0" w:color="auto"/>
                <w:right w:val="none" w:sz="0" w:space="0" w:color="auto"/>
              </w:divBdr>
              <w:divsChild>
                <w:div w:id="505170914">
                  <w:marLeft w:val="0"/>
                  <w:marRight w:val="0"/>
                  <w:marTop w:val="0"/>
                  <w:marBottom w:val="0"/>
                  <w:divBdr>
                    <w:top w:val="none" w:sz="0" w:space="0" w:color="auto"/>
                    <w:left w:val="none" w:sz="0" w:space="0" w:color="auto"/>
                    <w:bottom w:val="none" w:sz="0" w:space="0" w:color="auto"/>
                    <w:right w:val="none" w:sz="0" w:space="0" w:color="auto"/>
                  </w:divBdr>
                  <w:divsChild>
                    <w:div w:id="1270627877">
                      <w:marLeft w:val="0"/>
                      <w:marRight w:val="0"/>
                      <w:marTop w:val="0"/>
                      <w:marBottom w:val="0"/>
                      <w:divBdr>
                        <w:top w:val="none" w:sz="0" w:space="0" w:color="auto"/>
                        <w:left w:val="none" w:sz="0" w:space="0" w:color="auto"/>
                        <w:bottom w:val="none" w:sz="0" w:space="0" w:color="auto"/>
                        <w:right w:val="none" w:sz="0" w:space="0" w:color="auto"/>
                      </w:divBdr>
                      <w:divsChild>
                        <w:div w:id="241532245">
                          <w:marLeft w:val="0"/>
                          <w:marRight w:val="0"/>
                          <w:marTop w:val="0"/>
                          <w:marBottom w:val="0"/>
                          <w:divBdr>
                            <w:top w:val="none" w:sz="0" w:space="0" w:color="auto"/>
                            <w:left w:val="none" w:sz="0" w:space="0" w:color="auto"/>
                            <w:bottom w:val="none" w:sz="0" w:space="0" w:color="auto"/>
                            <w:right w:val="none" w:sz="0" w:space="0" w:color="auto"/>
                          </w:divBdr>
                          <w:divsChild>
                            <w:div w:id="141073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952091">
      <w:bodyDiv w:val="1"/>
      <w:marLeft w:val="0"/>
      <w:marRight w:val="0"/>
      <w:marTop w:val="0"/>
      <w:marBottom w:val="0"/>
      <w:divBdr>
        <w:top w:val="none" w:sz="0" w:space="0" w:color="auto"/>
        <w:left w:val="none" w:sz="0" w:space="0" w:color="auto"/>
        <w:bottom w:val="none" w:sz="0" w:space="0" w:color="auto"/>
        <w:right w:val="none" w:sz="0" w:space="0" w:color="auto"/>
      </w:divBdr>
    </w:div>
    <w:div w:id="213598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arketac.eu/wp-content/uploads/2026/07/Seafood-Europe-Presentation-Sustainability-Manifesto.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rketac.eu/wp-content/uploads/2026/07/ExCom-Chair-Presentation-03.07.2026.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025849F2-7CA5-4167-BE23-1FCEA065420F@lan"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2C9ACDEA16A541BD4EADE0B7724EC1" ma:contentTypeVersion="19" ma:contentTypeDescription="Create a new document." ma:contentTypeScope="" ma:versionID="3d839809c780cb8504bf7a6a000a6c6c">
  <xsd:schema xmlns:xsd="http://www.w3.org/2001/XMLSchema" xmlns:xs="http://www.w3.org/2001/XMLSchema" xmlns:p="http://schemas.microsoft.com/office/2006/metadata/properties" xmlns:ns2="0a696529-0f72-48e4-b036-bce29b55c904" xmlns:ns3="f894a7f0-1331-4600-a3be-94d01ccb6ac0" targetNamespace="http://schemas.microsoft.com/office/2006/metadata/properties" ma:root="true" ma:fieldsID="b61e5dd305b800783d6808b8c33662aa" ns2:_="" ns3:_="">
    <xsd:import namespace="0a696529-0f72-48e4-b036-bce29b55c904"/>
    <xsd:import namespace="f894a7f0-1331-4600-a3be-94d01ccb6a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96529-0f72-48e4-b036-bce29b55c9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0b8c353-3ab4-4110-803d-4eda959e43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4a7f0-1331-4600-a3be-94d01ccb6a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1bd241-1dcc-48c4-b671-c7e73fbddb47}" ma:internalName="TaxCatchAll" ma:showField="CatchAllData" ma:web="f894a7f0-1331-4600-a3be-94d01ccb6ac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696529-0f72-48e4-b036-bce29b55c904">
      <Terms xmlns="http://schemas.microsoft.com/office/infopath/2007/PartnerControls"/>
    </lcf76f155ced4ddcb4097134ff3c332f>
    <TaxCatchAll xmlns="f894a7f0-1331-4600-a3be-94d01ccb6a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8CB4F-F2E7-4D05-9ADD-9DCD4C4918D8}"/>
</file>

<file path=customXml/itemProps2.xml><?xml version="1.0" encoding="utf-8"?>
<ds:datastoreItem xmlns:ds="http://schemas.openxmlformats.org/officeDocument/2006/customXml" ds:itemID="{CD86A766-B69A-4AB5-9902-17700C259FB7}">
  <ds:schemaRefs>
    <ds:schemaRef ds:uri="http://schemas.microsoft.com/office/2006/metadata/properties"/>
    <ds:schemaRef ds:uri="http://schemas.microsoft.com/office/infopath/2007/PartnerControls"/>
    <ds:schemaRef ds:uri="0a696529-0f72-48e4-b036-bce29b55c904"/>
    <ds:schemaRef ds:uri="f894a7f0-1331-4600-a3be-94d01ccb6ac0"/>
  </ds:schemaRefs>
</ds:datastoreItem>
</file>

<file path=customXml/itemProps3.xml><?xml version="1.0" encoding="utf-8"?>
<ds:datastoreItem xmlns:ds="http://schemas.openxmlformats.org/officeDocument/2006/customXml" ds:itemID="{DD38F92C-7085-4FA7-BD9B-4EAF41ED110A}">
  <ds:schemaRefs>
    <ds:schemaRef ds:uri="http://schemas.microsoft.com/sharepoint/v3/contenttype/forms"/>
  </ds:schemaRefs>
</ds:datastoreItem>
</file>

<file path=customXml/itemProps4.xml><?xml version="1.0" encoding="utf-8"?>
<ds:datastoreItem xmlns:ds="http://schemas.openxmlformats.org/officeDocument/2006/customXml" ds:itemID="{62E6C2AA-185A-4DCD-A3F2-94E3538D9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16</Pages>
  <Words>5484</Words>
  <Characters>31262</Characters>
  <Application>Microsoft Office Word</Application>
  <DocSecurity>0</DocSecurity>
  <Lines>260</Lines>
  <Paragraphs>73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36673</CharactersWithSpaces>
  <SharedDoc>false</SharedDoc>
  <HLinks>
    <vt:vector size="18" baseType="variant">
      <vt:variant>
        <vt:i4>5701638</vt:i4>
      </vt:variant>
      <vt:variant>
        <vt:i4>6</vt:i4>
      </vt:variant>
      <vt:variant>
        <vt:i4>0</vt:i4>
      </vt:variant>
      <vt:variant>
        <vt:i4>5</vt:i4>
      </vt:variant>
      <vt:variant>
        <vt:lpwstr>https://marketac.eu/wp-content/uploads/2026/06/EUMOFA-Presentation-Crises.pdf</vt:lpwstr>
      </vt:variant>
      <vt:variant>
        <vt:lpwstr/>
      </vt:variant>
      <vt:variant>
        <vt:i4>1966082</vt:i4>
      </vt:variant>
      <vt:variant>
        <vt:i4>3</vt:i4>
      </vt:variant>
      <vt:variant>
        <vt:i4>0</vt:i4>
      </vt:variant>
      <vt:variant>
        <vt:i4>5</vt:i4>
      </vt:variant>
      <vt:variant>
        <vt:lpwstr>https://marketac.eu/wp-content/uploads/2026/06/Assoittica-Italia-Compact-Profile.pdf</vt:lpwstr>
      </vt:variant>
      <vt:variant>
        <vt:lpwstr/>
      </vt:variant>
      <vt:variant>
        <vt:i4>2949169</vt:i4>
      </vt:variant>
      <vt:variant>
        <vt:i4>0</vt:i4>
      </vt:variant>
      <vt:variant>
        <vt:i4>0</vt:i4>
      </vt:variant>
      <vt:variant>
        <vt:i4>5</vt:i4>
      </vt:variant>
      <vt:variant>
        <vt:lpwstr>https://marketac.eu/wp-content/uploads/2026/06/ExCom-Chair-Presentation-12.06.2026.pdf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cp:lastModifiedBy>Violaine De Neef | EBCD</cp:lastModifiedBy>
  <cp:revision>371</cp:revision>
  <cp:lastPrinted>2025-01-04T07:52:00Z</cp:lastPrinted>
  <dcterms:created xsi:type="dcterms:W3CDTF">2026-04-22T12:31:00Z</dcterms:created>
  <dcterms:modified xsi:type="dcterms:W3CDTF">2026-09-28T14:11:00Z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0x010100A32C9ACDEA16A541BD4EADE0B7724EC1</vt:lpwstr>
  </property>
</Properties>
</file>