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9700" w14:textId="77777777" w:rsidR="00047371" w:rsidRPr="00D02B91" w:rsidRDefault="00047371" w:rsidP="008842B6">
      <w:pPr>
        <w:rPr>
          <w:rFonts w:ascii="Arial Narrow" w:hAnsi="Arial Narrow"/>
          <w:b/>
          <w:u w:val="single"/>
        </w:rPr>
      </w:pPr>
    </w:p>
    <w:p w14:paraId="1556B537" w14:textId="559903C8" w:rsidR="00F05844" w:rsidRPr="00D02B91" w:rsidRDefault="00047371">
      <w:pPr>
        <w:jc w:val="center"/>
        <w:rPr>
          <w:rFonts w:ascii="Arial Narrow" w:hAnsi="Arial Narrow"/>
          <w:b/>
          <w:u w:val="single"/>
        </w:rPr>
      </w:pPr>
      <w:r w:rsidRPr="00D02B91">
        <w:rPr>
          <w:rFonts w:ascii="Arial Narrow" w:hAnsi="Arial Narrow"/>
          <w:b/>
          <w:bCs/>
          <w:u w:val="single"/>
        </w:rPr>
        <w:t>WORK PROGRAMME</w:t>
      </w:r>
      <w:r w:rsidR="00E904EC" w:rsidRPr="00D02B91">
        <w:rPr>
          <w:rFonts w:ascii="Arial Narrow" w:hAnsi="Arial Narrow"/>
          <w:b/>
          <w:bCs/>
          <w:u w:val="single"/>
        </w:rPr>
        <w:t xml:space="preserve"> </w:t>
      </w:r>
      <w:r w:rsidR="00F05844" w:rsidRPr="00D02B91">
        <w:rPr>
          <w:rFonts w:ascii="Arial Narrow" w:hAnsi="Arial Narrow"/>
          <w:b/>
          <w:bCs/>
          <w:u w:val="single"/>
        </w:rPr>
        <w:t xml:space="preserve">FOR </w:t>
      </w:r>
      <w:r w:rsidR="00484CCB" w:rsidRPr="00D02B91">
        <w:rPr>
          <w:rFonts w:ascii="Arial Narrow" w:hAnsi="Arial Narrow"/>
          <w:b/>
          <w:bCs/>
          <w:u w:val="single"/>
        </w:rPr>
        <w:t xml:space="preserve">MARKET </w:t>
      </w:r>
      <w:r w:rsidR="00040AC5" w:rsidRPr="00D02B91">
        <w:rPr>
          <w:rFonts w:ascii="Arial Narrow" w:hAnsi="Arial Narrow"/>
          <w:b/>
          <w:bCs/>
          <w:u w:val="single"/>
        </w:rPr>
        <w:t>AC</w:t>
      </w:r>
      <w:r w:rsidR="00FA0089" w:rsidRPr="00D02B91">
        <w:rPr>
          <w:rFonts w:ascii="Arial Narrow" w:hAnsi="Arial Narrow"/>
          <w:b/>
          <w:bCs/>
          <w:u w:val="single"/>
        </w:rPr>
        <w:t xml:space="preserve"> </w:t>
      </w:r>
    </w:p>
    <w:p w14:paraId="3A72CD22" w14:textId="77777777" w:rsidR="004677D1" w:rsidRPr="00D02B91" w:rsidRDefault="004677D1" w:rsidP="00672850">
      <w:pPr>
        <w:jc w:val="center"/>
        <w:rPr>
          <w:rFonts w:ascii="Arial Narrow" w:hAnsi="Arial Narrow"/>
          <w:b/>
          <w:u w:val="single"/>
        </w:rPr>
      </w:pPr>
    </w:p>
    <w:p w14:paraId="3FAD2441" w14:textId="2CD262FB" w:rsidR="0070428B" w:rsidRPr="00D02B91" w:rsidRDefault="00BD6525">
      <w:pPr>
        <w:jc w:val="center"/>
        <w:rPr>
          <w:rFonts w:ascii="Arial Narrow" w:hAnsi="Arial Narrow"/>
          <w:b/>
          <w:u w:val="single"/>
        </w:rPr>
      </w:pPr>
      <w:r w:rsidRPr="00D02B91">
        <w:rPr>
          <w:rFonts w:ascii="Arial Narrow" w:hAnsi="Arial Narrow"/>
          <w:b/>
          <w:bCs/>
          <w:u w:val="single"/>
        </w:rPr>
        <w:t xml:space="preserve">Period: </w:t>
      </w:r>
      <w:r w:rsidR="00484CCB" w:rsidRPr="00D02B91">
        <w:rPr>
          <w:rFonts w:ascii="Arial Narrow" w:hAnsi="Arial Narrow"/>
          <w:b/>
          <w:bCs/>
          <w:u w:val="single"/>
        </w:rPr>
        <w:t>01</w:t>
      </w:r>
      <w:r w:rsidRPr="00D02B91">
        <w:rPr>
          <w:rFonts w:ascii="Arial Narrow" w:hAnsi="Arial Narrow"/>
          <w:b/>
          <w:bCs/>
          <w:u w:val="single"/>
        </w:rPr>
        <w:t>/</w:t>
      </w:r>
      <w:r w:rsidR="00484CCB" w:rsidRPr="00D02B91">
        <w:rPr>
          <w:rFonts w:ascii="Arial Narrow" w:hAnsi="Arial Narrow"/>
          <w:b/>
          <w:bCs/>
          <w:u w:val="single"/>
        </w:rPr>
        <w:t>10</w:t>
      </w:r>
      <w:r w:rsidRPr="00D02B91">
        <w:rPr>
          <w:rFonts w:ascii="Arial Narrow" w:hAnsi="Arial Narrow"/>
          <w:b/>
          <w:bCs/>
          <w:u w:val="single"/>
        </w:rPr>
        <w:t>/</w:t>
      </w:r>
      <w:r w:rsidR="00484CCB" w:rsidRPr="00D02B91">
        <w:rPr>
          <w:rFonts w:ascii="Arial Narrow" w:hAnsi="Arial Narrow"/>
          <w:b/>
          <w:bCs/>
          <w:u w:val="single"/>
        </w:rPr>
        <w:t>202</w:t>
      </w:r>
      <w:r w:rsidR="006E1AF3" w:rsidRPr="00D02B91">
        <w:rPr>
          <w:rFonts w:ascii="Arial Narrow" w:hAnsi="Arial Narrow"/>
          <w:b/>
          <w:bCs/>
          <w:u w:val="single"/>
        </w:rPr>
        <w:t xml:space="preserve">6 </w:t>
      </w:r>
      <w:r w:rsidRPr="00D02B91">
        <w:rPr>
          <w:rFonts w:ascii="Arial Narrow" w:hAnsi="Arial Narrow"/>
          <w:b/>
          <w:bCs/>
          <w:u w:val="single"/>
        </w:rPr>
        <w:t xml:space="preserve">to </w:t>
      </w:r>
      <w:r w:rsidR="00484CCB" w:rsidRPr="00D02B91">
        <w:rPr>
          <w:rFonts w:ascii="Arial Narrow" w:hAnsi="Arial Narrow"/>
          <w:b/>
          <w:bCs/>
          <w:u w:val="single"/>
        </w:rPr>
        <w:t>30</w:t>
      </w:r>
      <w:r w:rsidRPr="00D02B91">
        <w:rPr>
          <w:rFonts w:ascii="Arial Narrow" w:hAnsi="Arial Narrow"/>
          <w:b/>
          <w:bCs/>
          <w:u w:val="single"/>
        </w:rPr>
        <w:t>/</w:t>
      </w:r>
      <w:r w:rsidR="00484CCB" w:rsidRPr="00D02B91">
        <w:rPr>
          <w:rFonts w:ascii="Arial Narrow" w:hAnsi="Arial Narrow"/>
          <w:b/>
          <w:bCs/>
          <w:u w:val="single"/>
        </w:rPr>
        <w:t>09</w:t>
      </w:r>
      <w:r w:rsidRPr="00D02B91">
        <w:rPr>
          <w:rFonts w:ascii="Arial Narrow" w:hAnsi="Arial Narrow"/>
          <w:b/>
          <w:bCs/>
          <w:u w:val="single"/>
        </w:rPr>
        <w:t>/</w:t>
      </w:r>
      <w:r w:rsidR="00484CCB" w:rsidRPr="00D02B91">
        <w:rPr>
          <w:rFonts w:ascii="Arial Narrow" w:hAnsi="Arial Narrow"/>
          <w:b/>
          <w:bCs/>
          <w:u w:val="single"/>
        </w:rPr>
        <w:t>202</w:t>
      </w:r>
      <w:r w:rsidR="006E1AF3" w:rsidRPr="00D02B91">
        <w:rPr>
          <w:rFonts w:ascii="Arial Narrow" w:hAnsi="Arial Narrow"/>
          <w:b/>
          <w:bCs/>
          <w:u w:val="single"/>
        </w:rPr>
        <w:t>7</w:t>
      </w:r>
      <w:r w:rsidR="00A112F6" w:rsidRPr="00D02B91">
        <w:rPr>
          <w:rFonts w:ascii="Arial Narrow" w:hAnsi="Arial Narrow"/>
          <w:b/>
          <w:bCs/>
          <w:u w:val="single"/>
        </w:rPr>
        <w:t xml:space="preserve"> (Year </w:t>
      </w:r>
      <w:r w:rsidR="00855CC7" w:rsidRPr="00D02B91">
        <w:rPr>
          <w:rFonts w:ascii="Arial Narrow" w:hAnsi="Arial Narrow"/>
          <w:b/>
          <w:bCs/>
          <w:u w:val="single"/>
        </w:rPr>
        <w:t>1</w:t>
      </w:r>
      <w:r w:rsidR="006E1AF3" w:rsidRPr="00D02B91">
        <w:rPr>
          <w:rFonts w:ascii="Arial Narrow" w:hAnsi="Arial Narrow"/>
          <w:b/>
          <w:bCs/>
          <w:u w:val="single"/>
        </w:rPr>
        <w:t>1</w:t>
      </w:r>
      <w:r w:rsidR="00A112F6" w:rsidRPr="00D02B91">
        <w:rPr>
          <w:rFonts w:ascii="Arial Narrow" w:hAnsi="Arial Narrow"/>
          <w:b/>
          <w:bCs/>
          <w:u w:val="single"/>
        </w:rPr>
        <w:t>)</w:t>
      </w:r>
      <w:r w:rsidR="00FA0089" w:rsidRPr="00D02B91">
        <w:rPr>
          <w:rFonts w:ascii="Arial Narrow" w:hAnsi="Arial Narrow"/>
          <w:b/>
          <w:bCs/>
          <w:u w:val="single"/>
        </w:rPr>
        <w:t xml:space="preserve">    </w:t>
      </w:r>
    </w:p>
    <w:p w14:paraId="0B887C34" w14:textId="77777777" w:rsidR="00B35417" w:rsidRPr="00D02B91" w:rsidRDefault="00B35417" w:rsidP="00672850">
      <w:pPr>
        <w:jc w:val="both"/>
        <w:rPr>
          <w:rFonts w:ascii="Arial Narrow" w:hAnsi="Arial Narrow"/>
          <w:b/>
          <w:sz w:val="22"/>
          <w:szCs w:val="22"/>
          <w:u w:val="single"/>
        </w:rPr>
      </w:pPr>
    </w:p>
    <w:p w14:paraId="440DF43F" w14:textId="77777777" w:rsidR="00484CCB" w:rsidRPr="00D02B91" w:rsidRDefault="00730947" w:rsidP="00672850">
      <w:pPr>
        <w:widowControl w:val="0"/>
        <w:autoSpaceDE w:val="0"/>
        <w:autoSpaceDN w:val="0"/>
        <w:adjustRightInd w:val="0"/>
        <w:jc w:val="both"/>
        <w:rPr>
          <w:rFonts w:ascii="Arial Narrow" w:hAnsi="Arial Narrow"/>
          <w:b/>
          <w:bCs/>
          <w:sz w:val="22"/>
          <w:szCs w:val="22"/>
        </w:rPr>
      </w:pPr>
      <w:r w:rsidRPr="00D02B91">
        <w:rPr>
          <w:rFonts w:ascii="Arial Narrow" w:hAnsi="Arial Narrow"/>
          <w:b/>
          <w:bCs/>
          <w:sz w:val="22"/>
          <w:szCs w:val="22"/>
        </w:rPr>
        <w:t>Background</w:t>
      </w:r>
      <w:r w:rsidR="00FA0089" w:rsidRPr="00D02B91">
        <w:rPr>
          <w:rFonts w:ascii="Arial Narrow" w:hAnsi="Arial Narrow"/>
          <w:b/>
          <w:bCs/>
          <w:sz w:val="22"/>
          <w:szCs w:val="22"/>
        </w:rPr>
        <w:t xml:space="preserve"> </w:t>
      </w:r>
    </w:p>
    <w:p w14:paraId="0698C6CD" w14:textId="77777777" w:rsidR="00484CCB" w:rsidRPr="00D02B91" w:rsidRDefault="00484CCB" w:rsidP="00672850">
      <w:pPr>
        <w:widowControl w:val="0"/>
        <w:autoSpaceDE w:val="0"/>
        <w:autoSpaceDN w:val="0"/>
        <w:adjustRightInd w:val="0"/>
        <w:jc w:val="both"/>
        <w:rPr>
          <w:rFonts w:ascii="Arial Narrow" w:hAnsi="Arial Narrow"/>
          <w:b/>
          <w:bCs/>
          <w:sz w:val="22"/>
          <w:szCs w:val="22"/>
        </w:rPr>
      </w:pPr>
    </w:p>
    <w:p w14:paraId="493F6FB6" w14:textId="3277C244" w:rsidR="00703A6D" w:rsidRPr="00D02B91" w:rsidRDefault="00700A87"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 xml:space="preserve">As </w:t>
      </w:r>
      <w:r w:rsidR="000A5307" w:rsidRPr="00D02B91">
        <w:rPr>
          <w:rFonts w:ascii="Arial Narrow" w:hAnsi="Arial Narrow"/>
          <w:sz w:val="22"/>
          <w:szCs w:val="22"/>
        </w:rPr>
        <w:t xml:space="preserve">determined </w:t>
      </w:r>
      <w:r w:rsidRPr="00D02B91">
        <w:rPr>
          <w:rFonts w:ascii="Arial Narrow" w:hAnsi="Arial Narrow"/>
          <w:sz w:val="22"/>
          <w:szCs w:val="22"/>
        </w:rPr>
        <w:t xml:space="preserve">by </w:t>
      </w:r>
      <w:r w:rsidR="00A40FFA" w:rsidRPr="00D02B91">
        <w:rPr>
          <w:rFonts w:ascii="Arial Narrow" w:hAnsi="Arial Narrow"/>
          <w:sz w:val="22"/>
          <w:szCs w:val="22"/>
        </w:rPr>
        <w:t xml:space="preserve">point (b) of paragraph 2 of Article 43 of the Common Fisheries Policy Regulation, the Market Advisory Council (MAC) </w:t>
      </w:r>
      <w:r w:rsidR="000A5307" w:rsidRPr="00D02B91">
        <w:rPr>
          <w:rFonts w:ascii="Arial Narrow" w:hAnsi="Arial Narrow"/>
          <w:sz w:val="22"/>
          <w:szCs w:val="22"/>
        </w:rPr>
        <w:t xml:space="preserve">was established to promote a balanced representation of all stakeholders and to contribute to the achievement of the policy’s objectives </w:t>
      </w:r>
      <w:r w:rsidR="00703A6D" w:rsidRPr="00D02B91">
        <w:rPr>
          <w:rFonts w:ascii="Arial Narrow" w:hAnsi="Arial Narrow"/>
          <w:sz w:val="22"/>
          <w:szCs w:val="22"/>
        </w:rPr>
        <w:t>in the field of the EU market of fisher</w:t>
      </w:r>
      <w:r w:rsidR="006E1AF3" w:rsidRPr="00D02B91">
        <w:rPr>
          <w:rFonts w:ascii="Arial Narrow" w:hAnsi="Arial Narrow"/>
          <w:sz w:val="22"/>
          <w:szCs w:val="22"/>
        </w:rPr>
        <w:t>y</w:t>
      </w:r>
      <w:r w:rsidR="00703A6D" w:rsidRPr="00D02B91">
        <w:rPr>
          <w:rFonts w:ascii="Arial Narrow" w:hAnsi="Arial Narrow"/>
          <w:sz w:val="22"/>
          <w:szCs w:val="22"/>
        </w:rPr>
        <w:t xml:space="preserve"> and aquaculture products. The MAC was founded in 2016 under the legal form of a non-profit organisation based in Brussels and co-funded by the European Commission.</w:t>
      </w:r>
    </w:p>
    <w:p w14:paraId="7815F15D" w14:textId="7CD97DF5" w:rsidR="00703A6D" w:rsidRPr="00D02B91" w:rsidRDefault="00703A6D" w:rsidP="00672850">
      <w:pPr>
        <w:widowControl w:val="0"/>
        <w:autoSpaceDE w:val="0"/>
        <w:autoSpaceDN w:val="0"/>
        <w:adjustRightInd w:val="0"/>
        <w:jc w:val="both"/>
        <w:rPr>
          <w:rFonts w:ascii="Arial Narrow" w:hAnsi="Arial Narrow"/>
          <w:sz w:val="22"/>
          <w:szCs w:val="22"/>
        </w:rPr>
      </w:pPr>
    </w:p>
    <w:p w14:paraId="3EC225E7" w14:textId="5FAB453D" w:rsidR="00703A6D" w:rsidRPr="00D02B91" w:rsidRDefault="00703A6D"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 xml:space="preserve">The </w:t>
      </w:r>
      <w:r w:rsidR="002C2B17" w:rsidRPr="00D02B91">
        <w:rPr>
          <w:rFonts w:ascii="Arial Narrow" w:hAnsi="Arial Narrow"/>
          <w:sz w:val="22"/>
          <w:szCs w:val="22"/>
        </w:rPr>
        <w:t>General Assembly of the MAC</w:t>
      </w:r>
      <w:r w:rsidRPr="00D02B91">
        <w:rPr>
          <w:rFonts w:ascii="Arial Narrow" w:hAnsi="Arial Narrow"/>
          <w:sz w:val="22"/>
          <w:szCs w:val="22"/>
        </w:rPr>
        <w:t xml:space="preserve"> is composed </w:t>
      </w:r>
      <w:r w:rsidR="002C2B17" w:rsidRPr="00D02B91">
        <w:rPr>
          <w:rFonts w:ascii="Arial Narrow" w:hAnsi="Arial Narrow"/>
          <w:sz w:val="22"/>
          <w:szCs w:val="22"/>
        </w:rPr>
        <w:t xml:space="preserve">of </w:t>
      </w:r>
      <w:r w:rsidR="005F0F5F" w:rsidRPr="00D02B91">
        <w:rPr>
          <w:rFonts w:ascii="Arial Narrow" w:hAnsi="Arial Narrow"/>
          <w:sz w:val="22"/>
          <w:szCs w:val="22"/>
        </w:rPr>
        <w:t>7</w:t>
      </w:r>
      <w:r w:rsidR="006E1AF3" w:rsidRPr="00D02B91">
        <w:rPr>
          <w:rFonts w:ascii="Arial Narrow" w:hAnsi="Arial Narrow"/>
          <w:sz w:val="22"/>
          <w:szCs w:val="22"/>
        </w:rPr>
        <w:t>7</w:t>
      </w:r>
      <w:r w:rsidR="002C2B17" w:rsidRPr="00D02B91">
        <w:rPr>
          <w:rFonts w:ascii="Arial Narrow" w:hAnsi="Arial Narrow"/>
          <w:sz w:val="22"/>
          <w:szCs w:val="22"/>
        </w:rPr>
        <w:t xml:space="preserve"> European, national and local organisations from 1</w:t>
      </w:r>
      <w:r w:rsidR="006E1AF3" w:rsidRPr="00D02B91">
        <w:rPr>
          <w:rFonts w:ascii="Arial Narrow" w:hAnsi="Arial Narrow"/>
          <w:sz w:val="22"/>
          <w:szCs w:val="22"/>
        </w:rPr>
        <w:t>2</w:t>
      </w:r>
      <w:r w:rsidR="002C2B17" w:rsidRPr="00D02B91">
        <w:rPr>
          <w:rFonts w:ascii="Arial Narrow" w:hAnsi="Arial Narrow"/>
          <w:sz w:val="22"/>
          <w:szCs w:val="22"/>
        </w:rPr>
        <w:t xml:space="preserve"> Member States (</w:t>
      </w:r>
      <w:r w:rsidR="00EE0692" w:rsidRPr="00D02B91">
        <w:rPr>
          <w:rFonts w:ascii="Arial Narrow" w:hAnsi="Arial Narrow"/>
          <w:sz w:val="22"/>
          <w:szCs w:val="22"/>
        </w:rPr>
        <w:t xml:space="preserve">Belgium, Croatia, Denmark, France, Germany, </w:t>
      </w:r>
      <w:r w:rsidR="000450C9" w:rsidRPr="00D02B91">
        <w:rPr>
          <w:rFonts w:ascii="Arial Narrow" w:hAnsi="Arial Narrow"/>
          <w:sz w:val="22"/>
          <w:szCs w:val="22"/>
        </w:rPr>
        <w:t xml:space="preserve">Greece, </w:t>
      </w:r>
      <w:r w:rsidR="00EE0692" w:rsidRPr="00D02B91">
        <w:rPr>
          <w:rFonts w:ascii="Arial Narrow" w:hAnsi="Arial Narrow"/>
          <w:sz w:val="22"/>
          <w:szCs w:val="22"/>
        </w:rPr>
        <w:t xml:space="preserve">Ireland, Italy, Netherlands, Poland, </w:t>
      </w:r>
      <w:r w:rsidR="001F22CD" w:rsidRPr="00D02B91">
        <w:rPr>
          <w:rFonts w:ascii="Arial Narrow" w:hAnsi="Arial Narrow"/>
          <w:sz w:val="22"/>
          <w:szCs w:val="22"/>
        </w:rPr>
        <w:t>Portugal</w:t>
      </w:r>
      <w:r w:rsidR="00EE0692" w:rsidRPr="00D02B91">
        <w:rPr>
          <w:rFonts w:ascii="Arial Narrow" w:hAnsi="Arial Narrow"/>
          <w:sz w:val="22"/>
          <w:szCs w:val="22"/>
        </w:rPr>
        <w:t>, Spai</w:t>
      </w:r>
      <w:r w:rsidR="006E1AF3" w:rsidRPr="00D02B91">
        <w:rPr>
          <w:rFonts w:ascii="Arial Narrow" w:hAnsi="Arial Narrow"/>
          <w:sz w:val="22"/>
          <w:szCs w:val="22"/>
        </w:rPr>
        <w:t>n</w:t>
      </w:r>
      <w:r w:rsidR="00EE0692" w:rsidRPr="00D02B91">
        <w:rPr>
          <w:rFonts w:ascii="Arial Narrow" w:hAnsi="Arial Narrow"/>
          <w:sz w:val="22"/>
          <w:szCs w:val="22"/>
        </w:rPr>
        <w:t>)</w:t>
      </w:r>
      <w:r w:rsidR="002C2B17" w:rsidRPr="00D02B91">
        <w:rPr>
          <w:rFonts w:ascii="Arial Narrow" w:hAnsi="Arial Narrow"/>
          <w:sz w:val="22"/>
          <w:szCs w:val="22"/>
        </w:rPr>
        <w:t xml:space="preserve">, representing the entire value chain (fisheries producers, aquaculture </w:t>
      </w:r>
      <w:r w:rsidR="005D3E78" w:rsidRPr="00D02B91">
        <w:rPr>
          <w:rFonts w:ascii="Arial Narrow" w:hAnsi="Arial Narrow"/>
          <w:sz w:val="22"/>
          <w:szCs w:val="22"/>
        </w:rPr>
        <w:t>farmers</w:t>
      </w:r>
      <w:r w:rsidR="002C2B17" w:rsidRPr="00D02B91">
        <w:rPr>
          <w:rFonts w:ascii="Arial Narrow" w:hAnsi="Arial Narrow"/>
          <w:sz w:val="22"/>
          <w:szCs w:val="22"/>
        </w:rPr>
        <w:t xml:space="preserve">, </w:t>
      </w:r>
      <w:r w:rsidR="005324CA" w:rsidRPr="00D02B91">
        <w:rPr>
          <w:rFonts w:ascii="Arial Narrow" w:hAnsi="Arial Narrow"/>
          <w:sz w:val="22"/>
          <w:szCs w:val="22"/>
        </w:rPr>
        <w:t xml:space="preserve">fish auctions, </w:t>
      </w:r>
      <w:r w:rsidR="002C2B17" w:rsidRPr="00D02B91">
        <w:rPr>
          <w:rFonts w:ascii="Arial Narrow" w:hAnsi="Arial Narrow"/>
          <w:sz w:val="22"/>
          <w:szCs w:val="22"/>
        </w:rPr>
        <w:t>processors, traders, suppliers, retailers, trade unions) and other interest groups (environmental and development NGOs</w:t>
      </w:r>
      <w:r w:rsidR="005324CA" w:rsidRPr="00D02B91">
        <w:rPr>
          <w:rFonts w:ascii="Arial Narrow" w:hAnsi="Arial Narrow"/>
          <w:sz w:val="22"/>
          <w:szCs w:val="22"/>
        </w:rPr>
        <w:t>, consumer groups</w:t>
      </w:r>
      <w:r w:rsidR="002C2B17" w:rsidRPr="00D02B91">
        <w:rPr>
          <w:rFonts w:ascii="Arial Narrow" w:hAnsi="Arial Narrow"/>
          <w:sz w:val="22"/>
          <w:szCs w:val="22"/>
        </w:rPr>
        <w:t>).</w:t>
      </w:r>
      <w:r w:rsidR="00EE0692" w:rsidRPr="00D02B91">
        <w:rPr>
          <w:rFonts w:ascii="Arial Narrow" w:hAnsi="Arial Narrow"/>
          <w:sz w:val="22"/>
          <w:szCs w:val="22"/>
        </w:rPr>
        <w:t xml:space="preserve"> The Executive Committee of the MAC is currently composed of 2</w:t>
      </w:r>
      <w:r w:rsidR="00DA71FB" w:rsidRPr="00D02B91">
        <w:rPr>
          <w:rFonts w:ascii="Arial Narrow" w:hAnsi="Arial Narrow"/>
          <w:sz w:val="22"/>
          <w:szCs w:val="22"/>
        </w:rPr>
        <w:t>1</w:t>
      </w:r>
      <w:r w:rsidR="00EE0692" w:rsidRPr="00D02B91">
        <w:rPr>
          <w:rFonts w:ascii="Arial Narrow" w:hAnsi="Arial Narrow"/>
          <w:sz w:val="22"/>
          <w:szCs w:val="22"/>
        </w:rPr>
        <w:t xml:space="preserve"> members distributed in the following manner: </w:t>
      </w:r>
    </w:p>
    <w:p w14:paraId="482960D3" w14:textId="76745D95" w:rsidR="00EE0692" w:rsidRPr="00D02B91" w:rsidRDefault="00EE0692" w:rsidP="00672850">
      <w:pPr>
        <w:widowControl w:val="0"/>
        <w:autoSpaceDE w:val="0"/>
        <w:autoSpaceDN w:val="0"/>
        <w:adjustRightInd w:val="0"/>
        <w:jc w:val="both"/>
        <w:rPr>
          <w:rFonts w:ascii="Arial Narrow" w:hAnsi="Arial Narrow"/>
          <w:sz w:val="22"/>
          <w:szCs w:val="22"/>
        </w:rPr>
      </w:pPr>
    </w:p>
    <w:tbl>
      <w:tblPr>
        <w:tblStyle w:val="TableGrid"/>
        <w:tblW w:w="0" w:type="auto"/>
        <w:tblLook w:val="04A0" w:firstRow="1" w:lastRow="0" w:firstColumn="1" w:lastColumn="0" w:noHBand="0" w:noVBand="1"/>
      </w:tblPr>
      <w:tblGrid>
        <w:gridCol w:w="3681"/>
        <w:gridCol w:w="5381"/>
      </w:tblGrid>
      <w:tr w:rsidR="00A112F6" w:rsidRPr="00D02B91" w14:paraId="2AD394B7" w14:textId="77777777" w:rsidTr="002A256A">
        <w:tc>
          <w:tcPr>
            <w:tcW w:w="9062" w:type="dxa"/>
            <w:gridSpan w:val="2"/>
          </w:tcPr>
          <w:p w14:paraId="349748E0" w14:textId="1BE8B840" w:rsidR="00A112F6" w:rsidRPr="00D02B91" w:rsidRDefault="00A112F6" w:rsidP="00A112F6">
            <w:pPr>
              <w:widowControl w:val="0"/>
              <w:autoSpaceDE w:val="0"/>
              <w:autoSpaceDN w:val="0"/>
              <w:adjustRightInd w:val="0"/>
              <w:jc w:val="center"/>
              <w:rPr>
                <w:rFonts w:ascii="Arial Narrow" w:hAnsi="Arial Narrow"/>
                <w:sz w:val="22"/>
                <w:szCs w:val="22"/>
              </w:rPr>
            </w:pPr>
            <w:r w:rsidRPr="00D02B91">
              <w:rPr>
                <w:rFonts w:ascii="Arial Narrow" w:hAnsi="Arial Narrow"/>
                <w:b/>
                <w:bCs/>
                <w:sz w:val="22"/>
                <w:szCs w:val="22"/>
              </w:rPr>
              <w:t>Value Supply Chain (60%)</w:t>
            </w:r>
          </w:p>
        </w:tc>
      </w:tr>
      <w:tr w:rsidR="00A112F6" w:rsidRPr="00D02B91" w14:paraId="239D57BB" w14:textId="77777777" w:rsidTr="002A256A">
        <w:tc>
          <w:tcPr>
            <w:tcW w:w="9062" w:type="dxa"/>
            <w:gridSpan w:val="2"/>
          </w:tcPr>
          <w:p w14:paraId="302C03DF" w14:textId="5F53D2F7"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Primary Producers (Catching)</w:t>
            </w:r>
          </w:p>
        </w:tc>
      </w:tr>
      <w:tr w:rsidR="00EE0692" w:rsidRPr="00D02B91" w14:paraId="2F4B1BB5" w14:textId="77777777" w:rsidTr="00A112F6">
        <w:tc>
          <w:tcPr>
            <w:tcW w:w="3681" w:type="dxa"/>
          </w:tcPr>
          <w:p w14:paraId="663B72FA" w14:textId="77777777" w:rsidR="00EE0692" w:rsidRPr="00D02B91" w:rsidRDefault="00EE0692" w:rsidP="00672850">
            <w:pPr>
              <w:widowControl w:val="0"/>
              <w:autoSpaceDE w:val="0"/>
              <w:autoSpaceDN w:val="0"/>
              <w:adjustRightInd w:val="0"/>
              <w:jc w:val="both"/>
              <w:rPr>
                <w:rFonts w:ascii="Arial Narrow" w:hAnsi="Arial Narrow"/>
                <w:sz w:val="22"/>
                <w:szCs w:val="22"/>
              </w:rPr>
            </w:pPr>
          </w:p>
        </w:tc>
        <w:tc>
          <w:tcPr>
            <w:tcW w:w="5381" w:type="dxa"/>
          </w:tcPr>
          <w:p w14:paraId="11B6DD0E" w14:textId="7899825B" w:rsidR="00EE0692" w:rsidRPr="00D02B91" w:rsidRDefault="00EE0692"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EAPO</w:t>
            </w:r>
          </w:p>
        </w:tc>
      </w:tr>
      <w:tr w:rsidR="00EE0692" w:rsidRPr="00D02B91" w14:paraId="7F9ED81C" w14:textId="77777777" w:rsidTr="00A112F6">
        <w:tc>
          <w:tcPr>
            <w:tcW w:w="3681" w:type="dxa"/>
          </w:tcPr>
          <w:p w14:paraId="6F72BC61" w14:textId="77777777" w:rsidR="00EE0692" w:rsidRPr="00D02B91" w:rsidRDefault="00EE0692" w:rsidP="00672850">
            <w:pPr>
              <w:widowControl w:val="0"/>
              <w:autoSpaceDE w:val="0"/>
              <w:autoSpaceDN w:val="0"/>
              <w:adjustRightInd w:val="0"/>
              <w:jc w:val="both"/>
              <w:rPr>
                <w:rFonts w:ascii="Arial Narrow" w:hAnsi="Arial Narrow"/>
                <w:sz w:val="22"/>
                <w:szCs w:val="22"/>
              </w:rPr>
            </w:pPr>
          </w:p>
        </w:tc>
        <w:tc>
          <w:tcPr>
            <w:tcW w:w="5381" w:type="dxa"/>
          </w:tcPr>
          <w:p w14:paraId="1FB1B5F9" w14:textId="12BD07CD" w:rsidR="00EE0692" w:rsidRPr="00D02B91" w:rsidRDefault="00EE0692"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Europêche</w:t>
            </w:r>
          </w:p>
        </w:tc>
      </w:tr>
      <w:tr w:rsidR="00EE0692" w:rsidRPr="00D02B91" w14:paraId="2F74BFEB" w14:textId="77777777" w:rsidTr="00A112F6">
        <w:tc>
          <w:tcPr>
            <w:tcW w:w="3681" w:type="dxa"/>
          </w:tcPr>
          <w:p w14:paraId="0BD5B564" w14:textId="77777777" w:rsidR="00EE0692" w:rsidRPr="00D02B91" w:rsidRDefault="00EE0692" w:rsidP="00672850">
            <w:pPr>
              <w:widowControl w:val="0"/>
              <w:autoSpaceDE w:val="0"/>
              <w:autoSpaceDN w:val="0"/>
              <w:adjustRightInd w:val="0"/>
              <w:jc w:val="both"/>
              <w:rPr>
                <w:rFonts w:ascii="Arial Narrow" w:hAnsi="Arial Narrow"/>
                <w:sz w:val="22"/>
                <w:szCs w:val="22"/>
              </w:rPr>
            </w:pPr>
          </w:p>
        </w:tc>
        <w:tc>
          <w:tcPr>
            <w:tcW w:w="5381" w:type="dxa"/>
          </w:tcPr>
          <w:p w14:paraId="209C83B0" w14:textId="4171E312" w:rsidR="00EE0692" w:rsidRPr="00D02B91" w:rsidRDefault="00EE0692"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COPA-COGECA</w:t>
            </w:r>
          </w:p>
        </w:tc>
      </w:tr>
      <w:tr w:rsidR="00EE0692" w:rsidRPr="00D02B91" w14:paraId="088349DE" w14:textId="77777777" w:rsidTr="00A112F6">
        <w:tc>
          <w:tcPr>
            <w:tcW w:w="3681" w:type="dxa"/>
          </w:tcPr>
          <w:p w14:paraId="2CF37111" w14:textId="77777777" w:rsidR="00EE0692" w:rsidRPr="00D02B91" w:rsidRDefault="00EE0692" w:rsidP="00672850">
            <w:pPr>
              <w:widowControl w:val="0"/>
              <w:autoSpaceDE w:val="0"/>
              <w:autoSpaceDN w:val="0"/>
              <w:adjustRightInd w:val="0"/>
              <w:jc w:val="both"/>
              <w:rPr>
                <w:rFonts w:ascii="Arial Narrow" w:hAnsi="Arial Narrow"/>
                <w:sz w:val="22"/>
                <w:szCs w:val="22"/>
              </w:rPr>
            </w:pPr>
          </w:p>
        </w:tc>
        <w:tc>
          <w:tcPr>
            <w:tcW w:w="5381" w:type="dxa"/>
          </w:tcPr>
          <w:p w14:paraId="124552B9" w14:textId="1126CDDD" w:rsidR="00EE0692" w:rsidRPr="00D02B91" w:rsidRDefault="00DA71FB"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 xml:space="preserve">Killybegs Fishermen’s Organisation </w:t>
            </w:r>
          </w:p>
        </w:tc>
      </w:tr>
      <w:tr w:rsidR="00EE0692" w:rsidRPr="00D02B91" w14:paraId="160338EE" w14:textId="77777777" w:rsidTr="00A112F6">
        <w:tc>
          <w:tcPr>
            <w:tcW w:w="3681" w:type="dxa"/>
          </w:tcPr>
          <w:p w14:paraId="2FB58824" w14:textId="77777777" w:rsidR="00EE0692" w:rsidRPr="00D02B91" w:rsidRDefault="00EE0692" w:rsidP="00672850">
            <w:pPr>
              <w:widowControl w:val="0"/>
              <w:autoSpaceDE w:val="0"/>
              <w:autoSpaceDN w:val="0"/>
              <w:adjustRightInd w:val="0"/>
              <w:jc w:val="both"/>
              <w:rPr>
                <w:rFonts w:ascii="Arial Narrow" w:hAnsi="Arial Narrow"/>
                <w:sz w:val="22"/>
                <w:szCs w:val="22"/>
              </w:rPr>
            </w:pPr>
          </w:p>
        </w:tc>
        <w:tc>
          <w:tcPr>
            <w:tcW w:w="5381" w:type="dxa"/>
          </w:tcPr>
          <w:p w14:paraId="62349349" w14:textId="4AB70E9C" w:rsidR="00EE0692" w:rsidRPr="00D02B91" w:rsidRDefault="00EE0692"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Les Pêcheurs de Bretagne</w:t>
            </w:r>
          </w:p>
        </w:tc>
      </w:tr>
      <w:tr w:rsidR="00EE0692" w:rsidRPr="00D02B91" w14:paraId="0EBCB6E1" w14:textId="77777777" w:rsidTr="00A112F6">
        <w:tc>
          <w:tcPr>
            <w:tcW w:w="3681" w:type="dxa"/>
          </w:tcPr>
          <w:p w14:paraId="14ABBB09" w14:textId="2815DEB6" w:rsidR="00EE0692"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Primary Producers (Aquaculture)</w:t>
            </w:r>
          </w:p>
        </w:tc>
        <w:tc>
          <w:tcPr>
            <w:tcW w:w="5381" w:type="dxa"/>
          </w:tcPr>
          <w:p w14:paraId="1B330111" w14:textId="77777777" w:rsidR="00EE0692" w:rsidRPr="00D02B91" w:rsidRDefault="00EE0692" w:rsidP="00672850">
            <w:pPr>
              <w:widowControl w:val="0"/>
              <w:autoSpaceDE w:val="0"/>
              <w:autoSpaceDN w:val="0"/>
              <w:adjustRightInd w:val="0"/>
              <w:jc w:val="both"/>
              <w:rPr>
                <w:rFonts w:ascii="Arial Narrow" w:hAnsi="Arial Narrow"/>
                <w:sz w:val="22"/>
                <w:szCs w:val="22"/>
              </w:rPr>
            </w:pPr>
          </w:p>
        </w:tc>
      </w:tr>
      <w:tr w:rsidR="00A112F6" w:rsidRPr="00D02B91" w14:paraId="5F5BFE18" w14:textId="77777777" w:rsidTr="00A112F6">
        <w:tc>
          <w:tcPr>
            <w:tcW w:w="3681" w:type="dxa"/>
          </w:tcPr>
          <w:p w14:paraId="30E8770A"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612B90B9" w14:textId="39C4EC2D"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EMPA</w:t>
            </w:r>
          </w:p>
        </w:tc>
      </w:tr>
      <w:tr w:rsidR="00A112F6" w:rsidRPr="00D02B91" w14:paraId="3B3E12BB" w14:textId="77777777" w:rsidTr="00A112F6">
        <w:tc>
          <w:tcPr>
            <w:tcW w:w="3681" w:type="dxa"/>
          </w:tcPr>
          <w:p w14:paraId="4FF569CC"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14E89F90" w14:textId="5C6051F9"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FEAP</w:t>
            </w:r>
          </w:p>
        </w:tc>
      </w:tr>
      <w:tr w:rsidR="00A112F6" w:rsidRPr="00D02B91" w14:paraId="62A078C1" w14:textId="77777777" w:rsidTr="002A256A">
        <w:tc>
          <w:tcPr>
            <w:tcW w:w="9062" w:type="dxa"/>
            <w:gridSpan w:val="2"/>
          </w:tcPr>
          <w:p w14:paraId="10748F0C" w14:textId="1EDAF335"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Processors, traders, suppliers and retailers</w:t>
            </w:r>
          </w:p>
        </w:tc>
      </w:tr>
      <w:tr w:rsidR="00A112F6" w:rsidRPr="00D02B91" w14:paraId="23F5E13C" w14:textId="77777777" w:rsidTr="00A112F6">
        <w:tc>
          <w:tcPr>
            <w:tcW w:w="3681" w:type="dxa"/>
          </w:tcPr>
          <w:p w14:paraId="0BEBF9DD"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76DD543F" w14:textId="72E2F087" w:rsidR="00A112F6" w:rsidRPr="00D02B91" w:rsidRDefault="00975E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Seafood Europe</w:t>
            </w:r>
          </w:p>
        </w:tc>
      </w:tr>
      <w:tr w:rsidR="00A112F6" w:rsidRPr="00D02B91" w14:paraId="7D50375D" w14:textId="77777777" w:rsidTr="00A112F6">
        <w:tc>
          <w:tcPr>
            <w:tcW w:w="3681" w:type="dxa"/>
          </w:tcPr>
          <w:p w14:paraId="20077E2B"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5A800BC4" w14:textId="590E69BE" w:rsidR="00A112F6" w:rsidRPr="00D02B91" w:rsidRDefault="00975E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PSPR</w:t>
            </w:r>
          </w:p>
        </w:tc>
      </w:tr>
      <w:tr w:rsidR="00A112F6" w:rsidRPr="00D02B91" w14:paraId="59BDB529" w14:textId="77777777" w:rsidTr="00A112F6">
        <w:tc>
          <w:tcPr>
            <w:tcW w:w="3681" w:type="dxa"/>
          </w:tcPr>
          <w:p w14:paraId="2AA37946"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5C7042C0" w14:textId="654B2F82" w:rsidR="00A112F6" w:rsidRPr="00D02B91" w:rsidRDefault="00975E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EFFOP</w:t>
            </w:r>
          </w:p>
        </w:tc>
      </w:tr>
      <w:tr w:rsidR="00A112F6" w:rsidRPr="00D02B91" w14:paraId="2450E8AF" w14:textId="77777777" w:rsidTr="00A112F6">
        <w:tc>
          <w:tcPr>
            <w:tcW w:w="3681" w:type="dxa"/>
          </w:tcPr>
          <w:p w14:paraId="409BA0D6"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2D760956" w14:textId="0E42B46D"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EuroCommerce</w:t>
            </w:r>
          </w:p>
        </w:tc>
      </w:tr>
      <w:tr w:rsidR="00A112F6" w:rsidRPr="00D02B91" w14:paraId="3CFEE4C9" w14:textId="77777777" w:rsidTr="00A112F6">
        <w:tc>
          <w:tcPr>
            <w:tcW w:w="3681" w:type="dxa"/>
          </w:tcPr>
          <w:p w14:paraId="665442CD"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49938FC2" w14:textId="7B0A14E8" w:rsidR="00A112F6" w:rsidRPr="00D02B91" w:rsidRDefault="00DA71FB"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FEDEPESCA</w:t>
            </w:r>
          </w:p>
        </w:tc>
      </w:tr>
      <w:tr w:rsidR="00A112F6" w:rsidRPr="00D02B91" w14:paraId="23DA141A" w14:textId="77777777" w:rsidTr="00A112F6">
        <w:tc>
          <w:tcPr>
            <w:tcW w:w="3681" w:type="dxa"/>
          </w:tcPr>
          <w:p w14:paraId="30C79490"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739B3200" w14:textId="047DF3DD"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CONXEMAR</w:t>
            </w:r>
          </w:p>
        </w:tc>
      </w:tr>
      <w:tr w:rsidR="00A112F6" w:rsidRPr="00D02B91" w14:paraId="70DB979E" w14:textId="77777777" w:rsidTr="00A112F6">
        <w:tc>
          <w:tcPr>
            <w:tcW w:w="3681" w:type="dxa"/>
          </w:tcPr>
          <w:p w14:paraId="72EA980B"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2CD7E0E6" w14:textId="61AF8D7D" w:rsidR="00A112F6" w:rsidRPr="00D02B91" w:rsidRDefault="00975E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ALIF</w:t>
            </w:r>
          </w:p>
        </w:tc>
      </w:tr>
      <w:tr w:rsidR="00A112F6" w:rsidRPr="00D02B91" w14:paraId="1FB91564" w14:textId="77777777" w:rsidTr="002A256A">
        <w:tc>
          <w:tcPr>
            <w:tcW w:w="9062" w:type="dxa"/>
            <w:gridSpan w:val="2"/>
          </w:tcPr>
          <w:p w14:paraId="3BF42195" w14:textId="32CF8A1E"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Workers (Trade Unions)</w:t>
            </w:r>
          </w:p>
        </w:tc>
      </w:tr>
      <w:tr w:rsidR="00A112F6" w:rsidRPr="00D02B91" w14:paraId="3838485B" w14:textId="77777777" w:rsidTr="00A112F6">
        <w:tc>
          <w:tcPr>
            <w:tcW w:w="3681" w:type="dxa"/>
          </w:tcPr>
          <w:p w14:paraId="05F7757A"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01626E90" w14:textId="17CA395A"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ETF</w:t>
            </w:r>
          </w:p>
        </w:tc>
      </w:tr>
      <w:tr w:rsidR="00A112F6" w:rsidRPr="00D02B91" w14:paraId="7301D1CD" w14:textId="77777777" w:rsidTr="002A256A">
        <w:tc>
          <w:tcPr>
            <w:tcW w:w="9062" w:type="dxa"/>
            <w:gridSpan w:val="2"/>
          </w:tcPr>
          <w:p w14:paraId="2F4E899B" w14:textId="0648C513" w:rsidR="00A112F6" w:rsidRPr="00D02B91" w:rsidRDefault="00A112F6" w:rsidP="00A112F6">
            <w:pPr>
              <w:widowControl w:val="0"/>
              <w:autoSpaceDE w:val="0"/>
              <w:autoSpaceDN w:val="0"/>
              <w:adjustRightInd w:val="0"/>
              <w:jc w:val="center"/>
              <w:rPr>
                <w:rFonts w:ascii="Arial Narrow" w:hAnsi="Arial Narrow"/>
                <w:b/>
                <w:bCs/>
                <w:sz w:val="22"/>
                <w:szCs w:val="22"/>
              </w:rPr>
            </w:pPr>
            <w:r w:rsidRPr="00D02B91">
              <w:rPr>
                <w:rFonts w:ascii="Arial Narrow" w:hAnsi="Arial Narrow"/>
                <w:b/>
                <w:bCs/>
                <w:sz w:val="22"/>
                <w:szCs w:val="22"/>
              </w:rPr>
              <w:t>Other Interest Groups (40%)</w:t>
            </w:r>
          </w:p>
        </w:tc>
      </w:tr>
      <w:tr w:rsidR="00A112F6" w:rsidRPr="00D02B91" w14:paraId="166C3D0C" w14:textId="77777777" w:rsidTr="00A112F6">
        <w:tc>
          <w:tcPr>
            <w:tcW w:w="3681" w:type="dxa"/>
          </w:tcPr>
          <w:p w14:paraId="4F3E8811"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2CF6E2EC" w14:textId="4C290D57"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MSC</w:t>
            </w:r>
          </w:p>
        </w:tc>
      </w:tr>
      <w:tr w:rsidR="00A112F6" w:rsidRPr="00D02B91" w14:paraId="1902544C" w14:textId="77777777" w:rsidTr="00A112F6">
        <w:tc>
          <w:tcPr>
            <w:tcW w:w="3681" w:type="dxa"/>
          </w:tcPr>
          <w:p w14:paraId="2FD64423"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4A00BA92" w14:textId="572FCB25"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Oceana</w:t>
            </w:r>
          </w:p>
        </w:tc>
      </w:tr>
      <w:tr w:rsidR="00A112F6" w:rsidRPr="00D02B91" w14:paraId="094F0BB9" w14:textId="77777777" w:rsidTr="00A112F6">
        <w:tc>
          <w:tcPr>
            <w:tcW w:w="3681" w:type="dxa"/>
          </w:tcPr>
          <w:p w14:paraId="6B1B73F6"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173C8F38" w14:textId="09AE889F" w:rsidR="00A112F6" w:rsidRPr="00D02B91" w:rsidRDefault="00A112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WWF</w:t>
            </w:r>
          </w:p>
        </w:tc>
      </w:tr>
      <w:tr w:rsidR="00A112F6" w:rsidRPr="00D02B91" w14:paraId="2A4CE0B0" w14:textId="77777777" w:rsidTr="00A112F6">
        <w:tc>
          <w:tcPr>
            <w:tcW w:w="3681" w:type="dxa"/>
          </w:tcPr>
          <w:p w14:paraId="576DA5E4"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24820029" w14:textId="1A60FA0B" w:rsidR="00A112F6" w:rsidRPr="00D02B91" w:rsidRDefault="00975E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EJF</w:t>
            </w:r>
          </w:p>
        </w:tc>
      </w:tr>
      <w:tr w:rsidR="00A112F6" w:rsidRPr="00D02B91" w14:paraId="0EEEA9CB" w14:textId="77777777" w:rsidTr="00A112F6">
        <w:tc>
          <w:tcPr>
            <w:tcW w:w="3681" w:type="dxa"/>
          </w:tcPr>
          <w:p w14:paraId="5B7B8EE8"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2E265098" w14:textId="0F68133A" w:rsidR="00A112F6" w:rsidRPr="00D02B91" w:rsidRDefault="00975E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Good Fish</w:t>
            </w:r>
          </w:p>
        </w:tc>
      </w:tr>
      <w:tr w:rsidR="00A112F6" w:rsidRPr="00D02B91" w14:paraId="50B942E7" w14:textId="77777777" w:rsidTr="00A112F6">
        <w:tc>
          <w:tcPr>
            <w:tcW w:w="3681" w:type="dxa"/>
          </w:tcPr>
          <w:p w14:paraId="49C8FCA2" w14:textId="77777777" w:rsidR="00A112F6" w:rsidRPr="00D02B91" w:rsidRDefault="00A112F6" w:rsidP="00672850">
            <w:pPr>
              <w:widowControl w:val="0"/>
              <w:autoSpaceDE w:val="0"/>
              <w:autoSpaceDN w:val="0"/>
              <w:adjustRightInd w:val="0"/>
              <w:jc w:val="both"/>
              <w:rPr>
                <w:rFonts w:ascii="Arial Narrow" w:hAnsi="Arial Narrow"/>
                <w:sz w:val="22"/>
                <w:szCs w:val="22"/>
              </w:rPr>
            </w:pPr>
          </w:p>
        </w:tc>
        <w:tc>
          <w:tcPr>
            <w:tcW w:w="5381" w:type="dxa"/>
          </w:tcPr>
          <w:p w14:paraId="3E90B695" w14:textId="3AE2EBFD" w:rsidR="00A112F6" w:rsidRPr="00D02B91" w:rsidRDefault="00975EF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ASC</w:t>
            </w:r>
          </w:p>
        </w:tc>
      </w:tr>
    </w:tbl>
    <w:p w14:paraId="693722A6" w14:textId="03392E86" w:rsidR="00EE0692" w:rsidRPr="00D02B91" w:rsidRDefault="00EE0692" w:rsidP="00672850">
      <w:pPr>
        <w:widowControl w:val="0"/>
        <w:autoSpaceDE w:val="0"/>
        <w:autoSpaceDN w:val="0"/>
        <w:adjustRightInd w:val="0"/>
        <w:jc w:val="both"/>
        <w:rPr>
          <w:rFonts w:ascii="Arial Narrow" w:hAnsi="Arial Narrow"/>
          <w:sz w:val="22"/>
          <w:szCs w:val="22"/>
        </w:rPr>
      </w:pPr>
    </w:p>
    <w:p w14:paraId="43BA7397" w14:textId="09287B6B" w:rsidR="00EE0692" w:rsidRPr="00D02B91" w:rsidRDefault="008842B6" w:rsidP="00672850">
      <w:pPr>
        <w:widowControl w:val="0"/>
        <w:autoSpaceDE w:val="0"/>
        <w:autoSpaceDN w:val="0"/>
        <w:adjustRightInd w:val="0"/>
        <w:jc w:val="both"/>
        <w:rPr>
          <w:rFonts w:ascii="Arial Narrow" w:hAnsi="Arial Narrow"/>
          <w:sz w:val="22"/>
          <w:szCs w:val="22"/>
        </w:rPr>
      </w:pPr>
      <w:r w:rsidRPr="00D02B91">
        <w:rPr>
          <w:rFonts w:ascii="Arial Narrow" w:hAnsi="Arial Narrow"/>
          <w:sz w:val="22"/>
          <w:szCs w:val="22"/>
        </w:rPr>
        <w:t>In line with Article 7a of Commission Delegated Regulation (EU) 2015/242, the MAC subject</w:t>
      </w:r>
      <w:r w:rsidR="006E16DB" w:rsidRPr="00D02B91">
        <w:rPr>
          <w:rFonts w:ascii="Arial Narrow" w:hAnsi="Arial Narrow"/>
          <w:sz w:val="22"/>
          <w:szCs w:val="22"/>
        </w:rPr>
        <w:t>ed</w:t>
      </w:r>
      <w:r w:rsidRPr="00D02B91">
        <w:rPr>
          <w:rFonts w:ascii="Arial Narrow" w:hAnsi="Arial Narrow"/>
          <w:sz w:val="22"/>
          <w:szCs w:val="22"/>
        </w:rPr>
        <w:t xml:space="preserve"> itself to an independent performance review, which result</w:t>
      </w:r>
      <w:r w:rsidR="00DA71FB" w:rsidRPr="00D02B91">
        <w:rPr>
          <w:rFonts w:ascii="Arial Narrow" w:hAnsi="Arial Narrow"/>
          <w:sz w:val="22"/>
          <w:szCs w:val="22"/>
        </w:rPr>
        <w:t>ed</w:t>
      </w:r>
      <w:r w:rsidRPr="00D02B91">
        <w:rPr>
          <w:rFonts w:ascii="Arial Narrow" w:hAnsi="Arial Narrow"/>
          <w:sz w:val="22"/>
          <w:szCs w:val="22"/>
        </w:rPr>
        <w:t xml:space="preserve"> in the adoption of a report in March 2022</w:t>
      </w:r>
      <w:r w:rsidRPr="00D02B91">
        <w:rPr>
          <w:rStyle w:val="FootnoteReference"/>
          <w:rFonts w:ascii="Arial Narrow" w:hAnsi="Arial Narrow"/>
          <w:sz w:val="22"/>
          <w:szCs w:val="22"/>
        </w:rPr>
        <w:footnoteReference w:id="2"/>
      </w:r>
      <w:r w:rsidRPr="00D02B91">
        <w:rPr>
          <w:rFonts w:ascii="Arial Narrow" w:hAnsi="Arial Narrow"/>
          <w:sz w:val="22"/>
          <w:szCs w:val="22"/>
        </w:rPr>
        <w:t>.</w:t>
      </w:r>
    </w:p>
    <w:p w14:paraId="05168707" w14:textId="0D1E39C0" w:rsidR="00FE1493" w:rsidRPr="00D02B91" w:rsidRDefault="004A3601" w:rsidP="00F217A6">
      <w:pPr>
        <w:widowControl w:val="0"/>
        <w:autoSpaceDE w:val="0"/>
        <w:autoSpaceDN w:val="0"/>
        <w:adjustRightInd w:val="0"/>
        <w:jc w:val="both"/>
        <w:rPr>
          <w:rFonts w:ascii="Arial Narrow" w:hAnsi="Arial Narrow"/>
          <w:b/>
          <w:bCs/>
        </w:rPr>
      </w:pPr>
      <w:r w:rsidRPr="00D02B91">
        <w:rPr>
          <w:rFonts w:ascii="Arial Narrow" w:hAnsi="Arial Narrow"/>
          <w:b/>
          <w:bCs/>
        </w:rPr>
        <w:lastRenderedPageBreak/>
        <w:t>Mission and objectives</w:t>
      </w:r>
      <w:r w:rsidR="00F217A6" w:rsidRPr="00D02B91">
        <w:rPr>
          <w:rFonts w:ascii="Arial Narrow" w:hAnsi="Arial Narrow"/>
          <w:b/>
          <w:bCs/>
        </w:rPr>
        <w:t xml:space="preserve"> of the </w:t>
      </w:r>
      <w:r w:rsidR="00484CCB" w:rsidRPr="00D02B91">
        <w:rPr>
          <w:rFonts w:ascii="Arial Narrow" w:hAnsi="Arial Narrow"/>
          <w:b/>
          <w:bCs/>
        </w:rPr>
        <w:t>M</w:t>
      </w:r>
      <w:r w:rsidR="00F217A6" w:rsidRPr="00D02B91">
        <w:rPr>
          <w:rFonts w:ascii="Arial Narrow" w:hAnsi="Arial Narrow"/>
          <w:b/>
          <w:bCs/>
        </w:rPr>
        <w:t>AC</w:t>
      </w:r>
    </w:p>
    <w:p w14:paraId="7FD05013" w14:textId="47BEE0D0" w:rsidR="00F217A6" w:rsidRPr="00D02B91" w:rsidRDefault="00F217A6" w:rsidP="00F217A6">
      <w:pPr>
        <w:widowControl w:val="0"/>
        <w:autoSpaceDE w:val="0"/>
        <w:autoSpaceDN w:val="0"/>
        <w:adjustRightInd w:val="0"/>
        <w:jc w:val="both"/>
        <w:rPr>
          <w:rFonts w:ascii="Arial Narrow" w:hAnsi="Arial Narrow"/>
          <w:b/>
          <w:bCs/>
        </w:rPr>
      </w:pPr>
    </w:p>
    <w:p w14:paraId="00C37584" w14:textId="77777777" w:rsidR="00F217A6" w:rsidRPr="00D02B91" w:rsidRDefault="00F217A6" w:rsidP="00F217A6">
      <w:pPr>
        <w:widowControl w:val="0"/>
        <w:autoSpaceDE w:val="0"/>
        <w:autoSpaceDN w:val="0"/>
        <w:adjustRightInd w:val="0"/>
        <w:jc w:val="both"/>
        <w:rPr>
          <w:rFonts w:ascii="Arial Narrow" w:hAnsi="Arial Narrow"/>
          <w:b/>
        </w:rPr>
      </w:pPr>
    </w:p>
    <w:tbl>
      <w:tblPr>
        <w:tblW w:w="9180" w:type="dxa"/>
        <w:tblLayout w:type="fixed"/>
        <w:tblLook w:val="0000" w:firstRow="0" w:lastRow="0" w:firstColumn="0" w:lastColumn="0" w:noHBand="0" w:noVBand="0"/>
      </w:tblPr>
      <w:tblGrid>
        <w:gridCol w:w="9180"/>
      </w:tblGrid>
      <w:tr w:rsidR="00987563" w:rsidRPr="00D02B91" w14:paraId="491CBE30" w14:textId="77777777" w:rsidTr="007C2D0C">
        <w:trPr>
          <w:cantSplit/>
        </w:trPr>
        <w:tc>
          <w:tcPr>
            <w:tcW w:w="9180" w:type="dxa"/>
            <w:shd w:val="clear" w:color="auto" w:fill="000000" w:themeFill="text1"/>
          </w:tcPr>
          <w:p w14:paraId="1B313075" w14:textId="28508B52" w:rsidR="00A0221D" w:rsidRPr="00D02B91" w:rsidRDefault="00484CCB" w:rsidP="00BD6525">
            <w:pPr>
              <w:pBdr>
                <w:top w:val="single" w:sz="6" w:space="1" w:color="auto" w:shadow="1"/>
                <w:left w:val="single" w:sz="6" w:space="1" w:color="auto" w:shadow="1"/>
                <w:bottom w:val="single" w:sz="6" w:space="1" w:color="auto" w:shadow="1"/>
                <w:right w:val="single" w:sz="6" w:space="1" w:color="auto" w:shadow="1"/>
              </w:pBdr>
              <w:shd w:val="clear" w:color="auto" w:fill="FFFFFF" w:themeFill="background1"/>
              <w:jc w:val="center"/>
              <w:rPr>
                <w:rFonts w:ascii="Arial Narrow" w:hAnsi="Arial Narrow"/>
                <w:b/>
                <w:color w:val="FF0000"/>
                <w:sz w:val="22"/>
              </w:rPr>
            </w:pPr>
            <w:r w:rsidRPr="00D02B91">
              <w:rPr>
                <w:rFonts w:ascii="Arial Narrow" w:hAnsi="Arial Narrow"/>
                <w:b/>
                <w:bCs/>
                <w:sz w:val="22"/>
                <w:szCs w:val="22"/>
              </w:rPr>
              <w:t>M</w:t>
            </w:r>
            <w:r w:rsidR="005969D1" w:rsidRPr="00D02B91">
              <w:rPr>
                <w:rFonts w:ascii="Arial Narrow" w:hAnsi="Arial Narrow"/>
                <w:b/>
                <w:bCs/>
                <w:sz w:val="22"/>
                <w:szCs w:val="22"/>
              </w:rPr>
              <w:t>AC</w:t>
            </w:r>
            <w:r w:rsidR="00710F86" w:rsidRPr="00D02B91">
              <w:rPr>
                <w:rFonts w:ascii="Arial Narrow" w:hAnsi="Arial Narrow"/>
                <w:b/>
                <w:bCs/>
                <w:sz w:val="22"/>
                <w:szCs w:val="22"/>
              </w:rPr>
              <w:t xml:space="preserve"> WORK</w:t>
            </w:r>
            <w:r w:rsidR="005969D1" w:rsidRPr="00D02B91">
              <w:rPr>
                <w:rFonts w:ascii="Arial Narrow" w:hAnsi="Arial Narrow"/>
                <w:b/>
                <w:bCs/>
                <w:sz w:val="22"/>
                <w:szCs w:val="22"/>
              </w:rPr>
              <w:t xml:space="preserve"> </w:t>
            </w:r>
            <w:r w:rsidR="00A0221D" w:rsidRPr="00D02B91">
              <w:rPr>
                <w:rFonts w:ascii="Arial Narrow" w:hAnsi="Arial Narrow"/>
                <w:b/>
                <w:bCs/>
                <w:sz w:val="22"/>
                <w:szCs w:val="22"/>
              </w:rPr>
              <w:t>PRIORITIES</w:t>
            </w:r>
            <w:r w:rsidR="00710F86" w:rsidRPr="00D02B91">
              <w:rPr>
                <w:rFonts w:ascii="Arial Narrow" w:hAnsi="Arial Narrow"/>
                <w:b/>
                <w:bCs/>
                <w:sz w:val="22"/>
                <w:szCs w:val="22"/>
              </w:rPr>
              <w:t xml:space="preserve"> </w:t>
            </w:r>
          </w:p>
        </w:tc>
      </w:tr>
    </w:tbl>
    <w:p w14:paraId="1494F757" w14:textId="77777777" w:rsidR="001167DE" w:rsidRPr="00D02B91" w:rsidRDefault="001167DE" w:rsidP="001167DE">
      <w:pPr>
        <w:jc w:val="both"/>
        <w:rPr>
          <w:rFonts w:ascii="Arial Narrow" w:hAnsi="Arial Narrow"/>
          <w:color w:val="FF0000"/>
          <w:sz w:val="22"/>
          <w:szCs w:val="22"/>
        </w:rPr>
      </w:pPr>
    </w:p>
    <w:p w14:paraId="289F429D" w14:textId="42C73172" w:rsidR="004A2A9C" w:rsidRPr="00D02B91" w:rsidRDefault="004A2A9C" w:rsidP="001167DE">
      <w:pPr>
        <w:jc w:val="both"/>
        <w:rPr>
          <w:rFonts w:ascii="Arial Narrow" w:hAnsi="Arial Narrow"/>
          <w:b/>
          <w:bCs/>
          <w:sz w:val="22"/>
          <w:szCs w:val="22"/>
          <w:u w:val="single"/>
        </w:rPr>
      </w:pPr>
      <w:r w:rsidRPr="00D02B91">
        <w:rPr>
          <w:rFonts w:ascii="Arial Narrow" w:hAnsi="Arial Narrow"/>
          <w:b/>
          <w:bCs/>
          <w:sz w:val="22"/>
          <w:szCs w:val="22"/>
          <w:u w:val="single"/>
        </w:rPr>
        <w:t xml:space="preserve">Overarching </w:t>
      </w:r>
      <w:r w:rsidR="004950F5" w:rsidRPr="00D02B91">
        <w:rPr>
          <w:rFonts w:ascii="Arial Narrow" w:hAnsi="Arial Narrow"/>
          <w:b/>
          <w:bCs/>
          <w:sz w:val="22"/>
          <w:szCs w:val="22"/>
          <w:u w:val="single"/>
        </w:rPr>
        <w:t xml:space="preserve">long term and </w:t>
      </w:r>
      <w:r w:rsidR="00484CCB" w:rsidRPr="00D02B91">
        <w:rPr>
          <w:rFonts w:ascii="Arial Narrow" w:hAnsi="Arial Narrow"/>
          <w:b/>
          <w:bCs/>
          <w:sz w:val="22"/>
          <w:szCs w:val="22"/>
          <w:u w:val="single"/>
        </w:rPr>
        <w:t>short-term</w:t>
      </w:r>
      <w:r w:rsidR="004950F5" w:rsidRPr="00D02B91">
        <w:rPr>
          <w:rFonts w:ascii="Arial Narrow" w:hAnsi="Arial Narrow"/>
          <w:b/>
          <w:bCs/>
          <w:sz w:val="22"/>
          <w:szCs w:val="22"/>
          <w:u w:val="single"/>
        </w:rPr>
        <w:t xml:space="preserve"> </w:t>
      </w:r>
      <w:r w:rsidRPr="00D02B91">
        <w:rPr>
          <w:rFonts w:ascii="Arial Narrow" w:hAnsi="Arial Narrow"/>
          <w:b/>
          <w:bCs/>
          <w:sz w:val="22"/>
          <w:szCs w:val="22"/>
          <w:u w:val="single"/>
        </w:rPr>
        <w:t xml:space="preserve">work priorities </w:t>
      </w:r>
      <w:r w:rsidR="00F217A6" w:rsidRPr="00D02B91">
        <w:rPr>
          <w:rFonts w:ascii="Arial Narrow" w:hAnsi="Arial Narrow"/>
          <w:b/>
          <w:bCs/>
          <w:sz w:val="22"/>
          <w:szCs w:val="22"/>
          <w:u w:val="single"/>
        </w:rPr>
        <w:t>(</w:t>
      </w:r>
      <w:r w:rsidR="00F217A6" w:rsidRPr="00D02B91">
        <w:rPr>
          <w:rFonts w:ascii="Arial Narrow" w:hAnsi="Arial Narrow"/>
          <w:bCs/>
          <w:sz w:val="22"/>
          <w:szCs w:val="22"/>
          <w:u w:val="single"/>
        </w:rPr>
        <w:t xml:space="preserve">at least </w:t>
      </w:r>
      <w:r w:rsidR="004950F5" w:rsidRPr="00D02B91">
        <w:rPr>
          <w:rFonts w:ascii="Arial Narrow" w:hAnsi="Arial Narrow"/>
          <w:bCs/>
          <w:sz w:val="22"/>
          <w:szCs w:val="22"/>
          <w:u w:val="single"/>
        </w:rPr>
        <w:t>3</w:t>
      </w:r>
      <w:r w:rsidR="00F217A6" w:rsidRPr="00D02B91">
        <w:rPr>
          <w:rFonts w:ascii="Arial Narrow" w:hAnsi="Arial Narrow"/>
          <w:bCs/>
          <w:sz w:val="22"/>
          <w:szCs w:val="22"/>
          <w:u w:val="single"/>
        </w:rPr>
        <w:t xml:space="preserve"> priorities</w:t>
      </w:r>
      <w:r w:rsidR="00F217A6" w:rsidRPr="00D02B91">
        <w:rPr>
          <w:rFonts w:ascii="Arial Narrow" w:hAnsi="Arial Narrow"/>
          <w:b/>
          <w:bCs/>
          <w:sz w:val="22"/>
          <w:szCs w:val="22"/>
          <w:u w:val="single"/>
        </w:rPr>
        <w:t>)</w:t>
      </w:r>
    </w:p>
    <w:p w14:paraId="5A3834A1" w14:textId="3CD6F7FC" w:rsidR="004A2A9C" w:rsidRPr="00D02B91" w:rsidRDefault="004A2A9C" w:rsidP="001167DE">
      <w:pPr>
        <w:jc w:val="both"/>
        <w:rPr>
          <w:rFonts w:ascii="Arial Narrow" w:hAnsi="Arial Narrow"/>
          <w:sz w:val="22"/>
          <w:szCs w:val="22"/>
        </w:rPr>
      </w:pPr>
    </w:p>
    <w:p w14:paraId="3FCB82AE" w14:textId="24038B42" w:rsidR="006E16DB" w:rsidRPr="00D02B91" w:rsidRDefault="005F0F5F" w:rsidP="006E16DB">
      <w:pPr>
        <w:pStyle w:val="ListParagraph"/>
        <w:numPr>
          <w:ilvl w:val="0"/>
          <w:numId w:val="13"/>
        </w:numPr>
        <w:jc w:val="both"/>
        <w:rPr>
          <w:rFonts w:ascii="Arial Narrow" w:hAnsi="Arial Narrow"/>
          <w:u w:val="single"/>
          <w:lang w:val="en-GB"/>
        </w:rPr>
      </w:pPr>
      <w:r w:rsidRPr="00D02B91">
        <w:rPr>
          <w:rFonts w:ascii="Arial Narrow" w:hAnsi="Arial Narrow"/>
          <w:u w:val="single"/>
          <w:lang w:val="en-GB"/>
        </w:rPr>
        <w:t>Common Fisheries Policy &amp; Common Market Organisation</w:t>
      </w:r>
    </w:p>
    <w:p w14:paraId="1ED40A50" w14:textId="5A001D31" w:rsidR="00975EF6" w:rsidRPr="00D02B91" w:rsidRDefault="00975EF6" w:rsidP="006E16DB">
      <w:pPr>
        <w:jc w:val="both"/>
        <w:rPr>
          <w:rFonts w:ascii="Arial Narrow" w:hAnsi="Arial Narrow"/>
          <w:sz w:val="22"/>
          <w:szCs w:val="22"/>
        </w:rPr>
      </w:pPr>
      <w:r w:rsidRPr="00D02B91">
        <w:rPr>
          <w:rFonts w:ascii="Arial Narrow" w:hAnsi="Arial Narrow"/>
          <w:sz w:val="22"/>
          <w:szCs w:val="22"/>
        </w:rPr>
        <w:t>In April 2026, the European Commission published the evaluation of the Common Fisheries Policy (CFP) Regulation, which also covers the main aspects of the Common Market Organisation. The evaluation showed that the economic performance was not as expected, providing mixed results for the various sectors of the supply chain and for the coastal communities. The evaluation showed a moderate contribution of the policy to food security. Internationally, the policy contributed the active building of partnerships, access to non-EU waters, an improved level playing field and a reinforced fight against IUU fishing, while an increase dependence on imports also took place. The evaluation identified shortcomings in control, enforcement and compliance. Overall, the evaluation concluded that the CFP Regulation remains very important and relevant</w:t>
      </w:r>
      <w:r w:rsidR="0025384A" w:rsidRPr="00D02B91">
        <w:rPr>
          <w:rFonts w:ascii="Arial Narrow" w:hAnsi="Arial Narrow"/>
          <w:sz w:val="22"/>
          <w:szCs w:val="22"/>
        </w:rPr>
        <w:t xml:space="preserve">, but that there are inefficiencies and gaps often dependent on the full implementation of its provisions or of secondary legislation. </w:t>
      </w:r>
      <w:r w:rsidRPr="00D02B91">
        <w:rPr>
          <w:rFonts w:ascii="Arial Narrow" w:hAnsi="Arial Narrow"/>
          <w:sz w:val="22"/>
          <w:szCs w:val="22"/>
        </w:rPr>
        <w:t xml:space="preserve"> </w:t>
      </w:r>
    </w:p>
    <w:p w14:paraId="538D2480" w14:textId="77777777" w:rsidR="00975EF6" w:rsidRPr="00D02B91" w:rsidRDefault="00975EF6" w:rsidP="006E16DB">
      <w:pPr>
        <w:jc w:val="both"/>
        <w:rPr>
          <w:rFonts w:ascii="Arial Narrow" w:hAnsi="Arial Narrow"/>
          <w:sz w:val="22"/>
          <w:szCs w:val="22"/>
        </w:rPr>
      </w:pPr>
    </w:p>
    <w:p w14:paraId="72B123EB" w14:textId="56C0BDD8" w:rsidR="00947FC6" w:rsidRPr="00D02B91" w:rsidRDefault="0025384A" w:rsidP="006E16DB">
      <w:pPr>
        <w:jc w:val="both"/>
        <w:rPr>
          <w:rFonts w:ascii="Arial Narrow" w:hAnsi="Arial Narrow"/>
          <w:sz w:val="22"/>
          <w:szCs w:val="22"/>
        </w:rPr>
      </w:pPr>
      <w:r w:rsidRPr="00D02B91">
        <w:rPr>
          <w:rFonts w:ascii="Arial Narrow" w:hAnsi="Arial Narrow"/>
          <w:sz w:val="22"/>
          <w:szCs w:val="22"/>
        </w:rPr>
        <w:t>In advance of the evaluation by the European Commission, the MAC provided advice on the implementation of the CFP from 2014 to 2024</w:t>
      </w:r>
      <w:r w:rsidRPr="00D02B91">
        <w:rPr>
          <w:rStyle w:val="FootnoteReference"/>
          <w:rFonts w:ascii="Arial Narrow" w:hAnsi="Arial Narrow"/>
          <w:sz w:val="22"/>
          <w:szCs w:val="22"/>
        </w:rPr>
        <w:footnoteReference w:id="3"/>
      </w:r>
      <w:r w:rsidRPr="00D02B91">
        <w:rPr>
          <w:rFonts w:ascii="Arial Narrow" w:hAnsi="Arial Narrow"/>
          <w:sz w:val="22"/>
          <w:szCs w:val="22"/>
        </w:rPr>
        <w:t xml:space="preserve">. In the future, the MAC will continue to follow the outcomes of the evaluation, remaining available to provide advice on any potential follow-up actions by the Commission.  </w:t>
      </w:r>
    </w:p>
    <w:p w14:paraId="723598D1" w14:textId="77777777" w:rsidR="00947FC6" w:rsidRPr="00D02B91" w:rsidRDefault="00947FC6" w:rsidP="006E16DB">
      <w:pPr>
        <w:jc w:val="both"/>
        <w:rPr>
          <w:rFonts w:ascii="Arial Narrow" w:hAnsi="Arial Narrow"/>
          <w:sz w:val="22"/>
          <w:szCs w:val="22"/>
        </w:rPr>
      </w:pPr>
    </w:p>
    <w:p w14:paraId="7F9B6904" w14:textId="5B22B667" w:rsidR="00947FC6" w:rsidRPr="00D02B91" w:rsidRDefault="005A4206" w:rsidP="005A4206">
      <w:pPr>
        <w:pStyle w:val="ListParagraph"/>
        <w:numPr>
          <w:ilvl w:val="0"/>
          <w:numId w:val="13"/>
        </w:numPr>
        <w:jc w:val="both"/>
        <w:rPr>
          <w:rFonts w:ascii="Arial Narrow" w:hAnsi="Arial Narrow"/>
          <w:u w:val="single"/>
          <w:lang w:val="en-GB"/>
        </w:rPr>
      </w:pPr>
      <w:r w:rsidRPr="00D02B91">
        <w:rPr>
          <w:rFonts w:ascii="Arial Narrow" w:hAnsi="Arial Narrow"/>
          <w:u w:val="single"/>
          <w:lang w:val="en-GB"/>
        </w:rPr>
        <w:t>European Ocean Pact</w:t>
      </w:r>
    </w:p>
    <w:p w14:paraId="24332E37" w14:textId="31F72AF6" w:rsidR="005A4206" w:rsidRPr="00D02B91" w:rsidRDefault="005A4206" w:rsidP="005A4206">
      <w:pPr>
        <w:jc w:val="both"/>
        <w:rPr>
          <w:rFonts w:ascii="Arial Narrow" w:hAnsi="Arial Narrow"/>
          <w:sz w:val="22"/>
          <w:szCs w:val="22"/>
        </w:rPr>
      </w:pPr>
      <w:r w:rsidRPr="00D02B91">
        <w:rPr>
          <w:rFonts w:ascii="Arial Narrow" w:hAnsi="Arial Narrow"/>
          <w:sz w:val="22"/>
          <w:szCs w:val="22"/>
        </w:rPr>
        <w:t>In 2025, the European Commission published a communication titled “The European Ocean Pact”</w:t>
      </w:r>
      <w:r w:rsidRPr="00D02B91">
        <w:rPr>
          <w:rStyle w:val="FootnoteReference"/>
          <w:rFonts w:ascii="Arial Narrow" w:hAnsi="Arial Narrow"/>
          <w:sz w:val="22"/>
          <w:szCs w:val="22"/>
        </w:rPr>
        <w:footnoteReference w:id="4"/>
      </w:r>
      <w:r w:rsidRPr="00D02B91">
        <w:rPr>
          <w:rFonts w:ascii="Arial Narrow" w:hAnsi="Arial Narrow"/>
          <w:sz w:val="22"/>
          <w:szCs w:val="22"/>
        </w:rPr>
        <w:t xml:space="preserve">, aiming for a comprehensive strategy to better protect the ocean, promote a thriving blue economy and support the well-being of people living in coastal areas. The Pact brings together EU ocean policies under one single reference framework, addressing the significant threats facing the ocean, coastal communities, islands, and outermost regions. </w:t>
      </w:r>
    </w:p>
    <w:p w14:paraId="2606F935" w14:textId="77777777" w:rsidR="005A4206" w:rsidRPr="00D02B91" w:rsidRDefault="005A4206" w:rsidP="005A4206">
      <w:pPr>
        <w:jc w:val="both"/>
        <w:rPr>
          <w:rFonts w:ascii="Arial Narrow" w:hAnsi="Arial Narrow"/>
          <w:sz w:val="22"/>
          <w:szCs w:val="22"/>
        </w:rPr>
      </w:pPr>
    </w:p>
    <w:p w14:paraId="609494AC" w14:textId="372EB793" w:rsidR="00515895" w:rsidRPr="00D02B91" w:rsidRDefault="005A4206" w:rsidP="005A4206">
      <w:pPr>
        <w:jc w:val="both"/>
        <w:rPr>
          <w:rFonts w:ascii="Arial Narrow" w:hAnsi="Arial Narrow"/>
          <w:sz w:val="22"/>
          <w:szCs w:val="22"/>
        </w:rPr>
      </w:pPr>
      <w:r w:rsidRPr="00D02B91">
        <w:rPr>
          <w:rFonts w:ascii="Arial Narrow" w:hAnsi="Arial Narrow"/>
          <w:sz w:val="22"/>
          <w:szCs w:val="22"/>
        </w:rPr>
        <w:t xml:space="preserve">The communication </w:t>
      </w:r>
      <w:r w:rsidR="0025384A" w:rsidRPr="00D02B91">
        <w:rPr>
          <w:rFonts w:ascii="Arial Narrow" w:hAnsi="Arial Narrow"/>
          <w:sz w:val="22"/>
          <w:szCs w:val="22"/>
        </w:rPr>
        <w:t xml:space="preserve">covers </w:t>
      </w:r>
      <w:r w:rsidRPr="00D02B91">
        <w:rPr>
          <w:rFonts w:ascii="Arial Narrow" w:hAnsi="Arial Narrow"/>
          <w:sz w:val="22"/>
          <w:szCs w:val="22"/>
        </w:rPr>
        <w:t xml:space="preserve">various initiatives of interest to the MAC, such as the establishment of a high-level Ocean Board to monitor and implement the Pact, </w:t>
      </w:r>
      <w:r w:rsidR="00515895" w:rsidRPr="00D02B91">
        <w:rPr>
          <w:rFonts w:ascii="Arial Narrow" w:hAnsi="Arial Narrow"/>
          <w:sz w:val="22"/>
          <w:szCs w:val="22"/>
        </w:rPr>
        <w:t>evaluation of the CMO Regulation to assess the effectiveness of the current labelling rules, EU-wide campaign on the benefits and the value added of EU-produced and sustainable aquatic foods, level playing field for European fishers, the evaluation and possible revision of the CFP Regulation,</w:t>
      </w:r>
      <w:r w:rsidR="002408DF" w:rsidRPr="00D02B91">
        <w:rPr>
          <w:rFonts w:ascii="Arial Narrow" w:hAnsi="Arial Narrow"/>
          <w:sz w:val="22"/>
          <w:szCs w:val="22"/>
        </w:rPr>
        <w:t xml:space="preserve"> improvement of the sustainability of imported fishery and aquaculture products under the Autonomous Tariff Quotas (ATQs) regime, ratification and full implementation of the World Trade Organisation’s Fisheries Subsidies Agreement, addressing “flags of convenience”, zero-tolerance approach to Illegal, Unreported, and Unregulated (IUU) fishing, digitalisation of the CACH IT system, and a new strategic approach to fisheries external action.</w:t>
      </w:r>
    </w:p>
    <w:p w14:paraId="7B64058D" w14:textId="77777777" w:rsidR="0025384A" w:rsidRPr="00D02B91" w:rsidRDefault="0025384A" w:rsidP="005A4206">
      <w:pPr>
        <w:jc w:val="both"/>
        <w:rPr>
          <w:rFonts w:ascii="Arial Narrow" w:hAnsi="Arial Narrow"/>
          <w:sz w:val="22"/>
          <w:szCs w:val="22"/>
        </w:rPr>
      </w:pPr>
    </w:p>
    <w:p w14:paraId="78075AEE" w14:textId="655DED9F" w:rsidR="0025384A" w:rsidRPr="00D02B91" w:rsidRDefault="0025384A" w:rsidP="005A4206">
      <w:pPr>
        <w:jc w:val="both"/>
        <w:rPr>
          <w:rFonts w:ascii="Arial Narrow" w:hAnsi="Arial Narrow"/>
          <w:sz w:val="22"/>
          <w:szCs w:val="22"/>
        </w:rPr>
      </w:pPr>
      <w:r w:rsidRPr="00D02B91">
        <w:rPr>
          <w:rFonts w:ascii="Arial Narrow" w:hAnsi="Arial Narrow"/>
          <w:sz w:val="22"/>
          <w:szCs w:val="22"/>
        </w:rPr>
        <w:t xml:space="preserve">Furthermore, the MAC is participating, an as official observer, in the European Ocean Board. </w:t>
      </w:r>
    </w:p>
    <w:p w14:paraId="30AA655D" w14:textId="77777777" w:rsidR="00C47E04" w:rsidRPr="00D02B91" w:rsidRDefault="00C47E04" w:rsidP="005A4206">
      <w:pPr>
        <w:jc w:val="both"/>
        <w:rPr>
          <w:rFonts w:ascii="Arial Narrow" w:hAnsi="Arial Narrow"/>
          <w:sz w:val="22"/>
          <w:szCs w:val="22"/>
        </w:rPr>
      </w:pPr>
    </w:p>
    <w:p w14:paraId="4A218888" w14:textId="47208FB5" w:rsidR="00C47E04" w:rsidRPr="00D02B91" w:rsidRDefault="005324CA" w:rsidP="00C47E04">
      <w:pPr>
        <w:pStyle w:val="ListParagraph"/>
        <w:numPr>
          <w:ilvl w:val="0"/>
          <w:numId w:val="13"/>
        </w:numPr>
        <w:jc w:val="both"/>
        <w:rPr>
          <w:rFonts w:ascii="Arial Narrow" w:hAnsi="Arial Narrow"/>
          <w:u w:val="single"/>
          <w:lang w:val="en-GB"/>
        </w:rPr>
      </w:pPr>
      <w:r w:rsidRPr="00D02B91">
        <w:rPr>
          <w:rFonts w:ascii="Arial Narrow" w:hAnsi="Arial Narrow"/>
          <w:u w:val="single"/>
          <w:lang w:val="en-GB"/>
        </w:rPr>
        <w:t>Competitiveness - s</w:t>
      </w:r>
      <w:r w:rsidR="00C47E04" w:rsidRPr="00D02B91">
        <w:rPr>
          <w:rFonts w:ascii="Arial Narrow" w:hAnsi="Arial Narrow"/>
          <w:u w:val="single"/>
          <w:lang w:val="en-GB"/>
        </w:rPr>
        <w:t>implification and reduction of administrative burden</w:t>
      </w:r>
    </w:p>
    <w:p w14:paraId="1885E5B4" w14:textId="249BE132" w:rsidR="00C671AD" w:rsidRPr="00D02B91" w:rsidRDefault="005324CA" w:rsidP="009E4999">
      <w:pPr>
        <w:jc w:val="both"/>
        <w:rPr>
          <w:rFonts w:ascii="Arial Narrow" w:hAnsi="Arial Narrow"/>
          <w:sz w:val="22"/>
          <w:szCs w:val="22"/>
        </w:rPr>
      </w:pPr>
      <w:r w:rsidRPr="00D02B91">
        <w:rPr>
          <w:rFonts w:ascii="Arial Narrow" w:hAnsi="Arial Narrow"/>
          <w:sz w:val="22"/>
          <w:szCs w:val="22"/>
        </w:rPr>
        <w:t>Under the Competitiveness Compass for the EU</w:t>
      </w:r>
      <w:r w:rsidRPr="00D02B91">
        <w:rPr>
          <w:rStyle w:val="FootnoteReference"/>
          <w:rFonts w:ascii="Arial Narrow" w:hAnsi="Arial Narrow"/>
          <w:sz w:val="22"/>
          <w:szCs w:val="22"/>
        </w:rPr>
        <w:footnoteReference w:id="5"/>
      </w:r>
      <w:r w:rsidRPr="00D02B91">
        <w:rPr>
          <w:rFonts w:ascii="Arial Narrow" w:hAnsi="Arial Narrow"/>
          <w:sz w:val="22"/>
          <w:szCs w:val="22"/>
        </w:rPr>
        <w:t>, the Commission identified simplification as a priority, particularly a systematic effort to make procedures for accessing EU funds and getting E</w:t>
      </w:r>
      <w:r w:rsidR="008E7511" w:rsidRPr="00D02B91">
        <w:rPr>
          <w:rFonts w:ascii="Arial Narrow" w:hAnsi="Arial Narrow"/>
          <w:sz w:val="22"/>
          <w:szCs w:val="22"/>
        </w:rPr>
        <w:t>U</w:t>
      </w:r>
      <w:r w:rsidRPr="00D02B91">
        <w:rPr>
          <w:rFonts w:ascii="Arial Narrow" w:hAnsi="Arial Narrow"/>
          <w:sz w:val="22"/>
          <w:szCs w:val="22"/>
        </w:rPr>
        <w:t xml:space="preserve"> administrative decisions simpler, faster, and lighter. The Compass sets a target of cutting the administrative burden by at least 25% for firms and by at least 35% for SMEs. These efforts are also detailed in the Commission’s communication on implementation and simplification “a simpler and faster Europe”</w:t>
      </w:r>
      <w:r w:rsidRPr="00D02B91">
        <w:rPr>
          <w:rStyle w:val="FootnoteReference"/>
          <w:rFonts w:ascii="Arial Narrow" w:hAnsi="Arial Narrow"/>
          <w:sz w:val="22"/>
          <w:szCs w:val="22"/>
        </w:rPr>
        <w:footnoteReference w:id="6"/>
      </w:r>
      <w:r w:rsidRPr="00D02B91">
        <w:rPr>
          <w:rFonts w:ascii="Arial Narrow" w:hAnsi="Arial Narrow"/>
          <w:sz w:val="22"/>
          <w:szCs w:val="22"/>
        </w:rPr>
        <w:t xml:space="preserve">. </w:t>
      </w:r>
    </w:p>
    <w:p w14:paraId="0636D434" w14:textId="702516BE" w:rsidR="001D3A29" w:rsidRPr="00D02B91" w:rsidRDefault="0025384A" w:rsidP="009E4999">
      <w:pPr>
        <w:jc w:val="both"/>
        <w:rPr>
          <w:rFonts w:ascii="Arial Narrow" w:hAnsi="Arial Narrow"/>
          <w:sz w:val="22"/>
          <w:szCs w:val="22"/>
        </w:rPr>
      </w:pPr>
      <w:r w:rsidRPr="00D02B91">
        <w:rPr>
          <w:rFonts w:ascii="Arial Narrow" w:hAnsi="Arial Narrow"/>
          <w:sz w:val="22"/>
          <w:szCs w:val="22"/>
        </w:rPr>
        <w:lastRenderedPageBreak/>
        <w:t xml:space="preserve">Under the tenth operational year, the MAC provided advice on the </w:t>
      </w:r>
      <w:r w:rsidR="001D3A29" w:rsidRPr="00D02B91">
        <w:rPr>
          <w:rFonts w:ascii="Arial Narrow" w:hAnsi="Arial Narrow"/>
          <w:sz w:val="22"/>
          <w:szCs w:val="22"/>
        </w:rPr>
        <w:t>initiatives of DG MARE</w:t>
      </w:r>
      <w:r w:rsidR="001D3A29" w:rsidRPr="00D02B91">
        <w:rPr>
          <w:rStyle w:val="FootnoteReference"/>
          <w:rFonts w:ascii="Arial Narrow" w:hAnsi="Arial Narrow"/>
          <w:sz w:val="22"/>
          <w:szCs w:val="22"/>
        </w:rPr>
        <w:footnoteReference w:id="7"/>
      </w:r>
      <w:r w:rsidR="001D3A29" w:rsidRPr="00D02B91">
        <w:rPr>
          <w:rFonts w:ascii="Arial Narrow" w:hAnsi="Arial Narrow"/>
          <w:sz w:val="22"/>
          <w:szCs w:val="22"/>
        </w:rPr>
        <w:t>, including stress testing, Implementation Dialogues, and reality checks. The MAC also provided advice on the upcoming studies on the administrative burden related to the Fisheries Control Regulation</w:t>
      </w:r>
      <w:r w:rsidR="001D3A29" w:rsidRPr="00D02B91">
        <w:rPr>
          <w:rStyle w:val="FootnoteReference"/>
          <w:rFonts w:ascii="Arial Narrow" w:hAnsi="Arial Narrow"/>
          <w:sz w:val="22"/>
          <w:szCs w:val="22"/>
        </w:rPr>
        <w:footnoteReference w:id="8"/>
      </w:r>
      <w:r w:rsidR="001D3A29" w:rsidRPr="00D02B91">
        <w:rPr>
          <w:rFonts w:ascii="Arial Narrow" w:hAnsi="Arial Narrow"/>
          <w:sz w:val="22"/>
          <w:szCs w:val="22"/>
        </w:rPr>
        <w:t xml:space="preserve">. Furthermore, the MAC participated in two Implementation Dialogues. In the future, the MAC will continue to follow the simplification initiatives of DG MARE, including the conclusions of the mentioned studies. </w:t>
      </w:r>
    </w:p>
    <w:p w14:paraId="567D01B2" w14:textId="77777777" w:rsidR="0025384A" w:rsidRPr="00D02B91" w:rsidRDefault="0025384A" w:rsidP="009E4999">
      <w:pPr>
        <w:jc w:val="both"/>
        <w:rPr>
          <w:rFonts w:ascii="Arial Narrow" w:hAnsi="Arial Narrow"/>
          <w:sz w:val="22"/>
          <w:szCs w:val="22"/>
        </w:rPr>
      </w:pPr>
    </w:p>
    <w:p w14:paraId="1F488463" w14:textId="77777777" w:rsidR="0048077A" w:rsidRPr="00D02B91" w:rsidRDefault="0048077A" w:rsidP="0048077A">
      <w:pPr>
        <w:pStyle w:val="ListParagraph"/>
        <w:numPr>
          <w:ilvl w:val="0"/>
          <w:numId w:val="13"/>
        </w:numPr>
        <w:jc w:val="both"/>
        <w:rPr>
          <w:rFonts w:ascii="Arial Narrow" w:hAnsi="Arial Narrow"/>
          <w:u w:val="single"/>
          <w:lang w:val="en-GB"/>
        </w:rPr>
      </w:pPr>
      <w:r w:rsidRPr="00D02B91">
        <w:rPr>
          <w:rFonts w:ascii="Arial Narrow" w:hAnsi="Arial Narrow"/>
          <w:u w:val="single"/>
          <w:lang w:val="en-GB"/>
        </w:rPr>
        <w:t xml:space="preserve">Trade Agreements &amp; Trade Policy Instruments </w:t>
      </w:r>
    </w:p>
    <w:p w14:paraId="03B1A2D6" w14:textId="6648A720" w:rsidR="006E16DB" w:rsidRPr="00D02B91" w:rsidRDefault="00C671AD" w:rsidP="0048077A">
      <w:pPr>
        <w:jc w:val="both"/>
        <w:rPr>
          <w:rFonts w:ascii="Arial Narrow" w:hAnsi="Arial Narrow"/>
          <w:sz w:val="22"/>
          <w:szCs w:val="22"/>
        </w:rPr>
      </w:pPr>
      <w:r w:rsidRPr="00D02B91">
        <w:rPr>
          <w:rFonts w:ascii="Arial Narrow" w:hAnsi="Arial Narrow"/>
          <w:sz w:val="22"/>
          <w:szCs w:val="22"/>
        </w:rPr>
        <w:t>The EU market is heavily dependent on imported supplies to meet consumer demand. As part of its work to improve understanding of consumption trends and price developments, the MAC will continue to monitor and offer advice on both offensive and defensive opportunities in relation to the various ongoing EU negotiations with third countries on possible new free trade deals. The EU market is not only affected by multilateral and bilateral trade agreements, but also by other policy instruments such as the Generalised Scheme of Preferences (GSP, Everything But Arms, GSP+) and the A</w:t>
      </w:r>
      <w:r w:rsidR="001D3A29" w:rsidRPr="00D02B91">
        <w:rPr>
          <w:rFonts w:ascii="Arial Narrow" w:hAnsi="Arial Narrow"/>
          <w:sz w:val="22"/>
          <w:szCs w:val="22"/>
        </w:rPr>
        <w:t>utonomous Tariff Quotas</w:t>
      </w:r>
      <w:r w:rsidRPr="00D02B91">
        <w:rPr>
          <w:rFonts w:ascii="Arial Narrow" w:hAnsi="Arial Narrow"/>
          <w:sz w:val="22"/>
          <w:szCs w:val="22"/>
        </w:rPr>
        <w:t xml:space="preserve"> Regulation.</w:t>
      </w:r>
    </w:p>
    <w:p w14:paraId="34F71CD3" w14:textId="77777777" w:rsidR="002408DF" w:rsidRPr="00D02B91" w:rsidRDefault="002408DF" w:rsidP="0048077A">
      <w:pPr>
        <w:jc w:val="both"/>
        <w:rPr>
          <w:rFonts w:ascii="Arial Narrow" w:hAnsi="Arial Narrow"/>
          <w:sz w:val="22"/>
          <w:szCs w:val="22"/>
        </w:rPr>
      </w:pPr>
    </w:p>
    <w:p w14:paraId="798C9833" w14:textId="07E3B992" w:rsidR="002408DF" w:rsidRPr="00D02B91" w:rsidRDefault="002408DF" w:rsidP="0048077A">
      <w:pPr>
        <w:jc w:val="both"/>
        <w:rPr>
          <w:rFonts w:ascii="Arial Narrow" w:hAnsi="Arial Narrow"/>
          <w:sz w:val="22"/>
          <w:szCs w:val="22"/>
        </w:rPr>
      </w:pPr>
      <w:r w:rsidRPr="00D02B91">
        <w:rPr>
          <w:rFonts w:ascii="Arial Narrow" w:hAnsi="Arial Narrow"/>
          <w:sz w:val="22"/>
          <w:szCs w:val="22"/>
        </w:rPr>
        <w:t xml:space="preserve">The MAC will continue to monitor the </w:t>
      </w:r>
      <w:r w:rsidR="003220E7" w:rsidRPr="00D02B91">
        <w:rPr>
          <w:rFonts w:ascii="Arial Narrow" w:hAnsi="Arial Narrow"/>
          <w:sz w:val="22"/>
          <w:szCs w:val="22"/>
        </w:rPr>
        <w:t>initiatives</w:t>
      </w:r>
      <w:r w:rsidRPr="00D02B91">
        <w:rPr>
          <w:rFonts w:ascii="Arial Narrow" w:hAnsi="Arial Narrow"/>
          <w:sz w:val="22"/>
          <w:szCs w:val="22"/>
        </w:rPr>
        <w:t xml:space="preserve"> of the Commission to improve the sustainability of imported fishery and aquaculture products under the ATQ regime</w:t>
      </w:r>
      <w:r w:rsidRPr="00D02B91">
        <w:rPr>
          <w:rStyle w:val="FootnoteReference"/>
          <w:rFonts w:ascii="Arial Narrow" w:hAnsi="Arial Narrow"/>
          <w:sz w:val="22"/>
          <w:szCs w:val="22"/>
        </w:rPr>
        <w:footnoteReference w:id="9"/>
      </w:r>
      <w:r w:rsidRPr="00D02B91">
        <w:rPr>
          <w:rFonts w:ascii="Arial Narrow" w:hAnsi="Arial Narrow"/>
          <w:sz w:val="22"/>
          <w:szCs w:val="22"/>
        </w:rPr>
        <w:t xml:space="preserve">. </w:t>
      </w:r>
    </w:p>
    <w:p w14:paraId="28607EA0" w14:textId="77777777" w:rsidR="0097086F" w:rsidRPr="00D02B91" w:rsidRDefault="0097086F" w:rsidP="0048077A">
      <w:pPr>
        <w:jc w:val="both"/>
        <w:rPr>
          <w:rFonts w:ascii="Arial Narrow" w:hAnsi="Arial Narrow"/>
          <w:sz w:val="22"/>
          <w:szCs w:val="22"/>
        </w:rPr>
      </w:pPr>
    </w:p>
    <w:p w14:paraId="6A2E1746" w14:textId="71DB81C3" w:rsidR="00C671AD" w:rsidRPr="00D02B91" w:rsidRDefault="005066B6" w:rsidP="0097086F">
      <w:pPr>
        <w:pStyle w:val="ListParagraph"/>
        <w:numPr>
          <w:ilvl w:val="0"/>
          <w:numId w:val="13"/>
        </w:numPr>
        <w:jc w:val="both"/>
        <w:rPr>
          <w:rFonts w:ascii="Arial Narrow" w:hAnsi="Arial Narrow"/>
          <w:u w:val="single"/>
          <w:lang w:val="en-GB"/>
        </w:rPr>
      </w:pPr>
      <w:r w:rsidRPr="00D02B91">
        <w:rPr>
          <w:rFonts w:ascii="Arial Narrow" w:hAnsi="Arial Narrow"/>
          <w:u w:val="single"/>
          <w:lang w:val="en-GB"/>
        </w:rPr>
        <w:t>Illegal, Unreported and Unregulated (IUU) Fishing</w:t>
      </w:r>
    </w:p>
    <w:p w14:paraId="7D77CFBE" w14:textId="36B2DF27" w:rsidR="00C671AD" w:rsidRPr="00D02B91" w:rsidRDefault="005066B6" w:rsidP="001167DE">
      <w:pPr>
        <w:jc w:val="both"/>
        <w:rPr>
          <w:rFonts w:ascii="Arial Narrow" w:hAnsi="Arial Narrow"/>
          <w:sz w:val="22"/>
          <w:szCs w:val="22"/>
        </w:rPr>
      </w:pPr>
      <w:r w:rsidRPr="00D02B91">
        <w:rPr>
          <w:rFonts w:ascii="Arial Narrow" w:hAnsi="Arial Narrow"/>
          <w:sz w:val="22"/>
          <w:szCs w:val="22"/>
        </w:rPr>
        <w:t>The EU is a pioneer in the global fight against IUU fishing and the Commission has taken a leadership position by promoting a “zero-tolerance” approac</w:t>
      </w:r>
      <w:r w:rsidR="005D3E78" w:rsidRPr="00D02B91">
        <w:rPr>
          <w:rFonts w:ascii="Arial Narrow" w:hAnsi="Arial Narrow"/>
          <w:sz w:val="22"/>
          <w:szCs w:val="22"/>
        </w:rPr>
        <w:t>h</w:t>
      </w:r>
      <w:r w:rsidRPr="00D02B91">
        <w:rPr>
          <w:rFonts w:ascii="Arial Narrow" w:hAnsi="Arial Narrow"/>
          <w:sz w:val="22"/>
          <w:szCs w:val="22"/>
        </w:rPr>
        <w:t xml:space="preserve">. The EU IUU Regulation established an EU-wide system to prevent, deter and eliminate the import of IUU fishery products into the EU market and promotes reforms in third countries through its “carding system”. The Commission services have continuously updated the MAC on the cooperation with third countries and corresponding evaluations to promote reforms. </w:t>
      </w:r>
      <w:r w:rsidR="006847AF" w:rsidRPr="00D02B91">
        <w:rPr>
          <w:rFonts w:ascii="Arial Narrow" w:hAnsi="Arial Narrow"/>
          <w:sz w:val="22"/>
          <w:szCs w:val="22"/>
        </w:rPr>
        <w:t xml:space="preserve">As practice from previous years, the MAC will continue to produce advice to the European Commission on an </w:t>
      </w:r>
      <w:r w:rsidR="006847AF" w:rsidRPr="00D02B91">
        <w:rPr>
          <w:rFonts w:ascii="Arial Narrow" w:hAnsi="Arial Narrow"/>
          <w:i/>
          <w:iCs/>
          <w:sz w:val="22"/>
          <w:szCs w:val="22"/>
        </w:rPr>
        <w:t>ad hoc</w:t>
      </w:r>
      <w:r w:rsidR="006847AF" w:rsidRPr="00D02B91">
        <w:rPr>
          <w:rFonts w:ascii="Arial Narrow" w:hAnsi="Arial Narrow"/>
          <w:sz w:val="22"/>
          <w:szCs w:val="22"/>
        </w:rPr>
        <w:t xml:space="preserve"> basis when significant cases of IUU fishing products entering the EU market are known or when actions take place under the “carding system”</w:t>
      </w:r>
      <w:r w:rsidR="006847AF" w:rsidRPr="00D02B91">
        <w:rPr>
          <w:rStyle w:val="FootnoteReference"/>
          <w:rFonts w:ascii="Arial Narrow" w:hAnsi="Arial Narrow"/>
          <w:sz w:val="22"/>
          <w:szCs w:val="22"/>
        </w:rPr>
        <w:footnoteReference w:id="10"/>
      </w:r>
      <w:r w:rsidR="006847AF" w:rsidRPr="00D02B91">
        <w:rPr>
          <w:rFonts w:ascii="Arial Narrow" w:hAnsi="Arial Narrow"/>
          <w:sz w:val="22"/>
          <w:szCs w:val="22"/>
        </w:rPr>
        <w:t xml:space="preserve">. </w:t>
      </w:r>
    </w:p>
    <w:p w14:paraId="2EDF7E89" w14:textId="77777777" w:rsidR="002408DF" w:rsidRPr="00D02B91" w:rsidRDefault="002408DF" w:rsidP="001167DE">
      <w:pPr>
        <w:jc w:val="both"/>
        <w:rPr>
          <w:rFonts w:ascii="Arial Narrow" w:hAnsi="Arial Narrow"/>
          <w:sz w:val="22"/>
          <w:szCs w:val="22"/>
        </w:rPr>
      </w:pPr>
    </w:p>
    <w:p w14:paraId="6C1AE7A9" w14:textId="21ED66E5" w:rsidR="002F337C" w:rsidRPr="00D02B91" w:rsidRDefault="002F337C" w:rsidP="002F337C">
      <w:pPr>
        <w:pStyle w:val="ListParagraph"/>
        <w:numPr>
          <w:ilvl w:val="0"/>
          <w:numId w:val="13"/>
        </w:numPr>
        <w:jc w:val="both"/>
        <w:rPr>
          <w:rFonts w:ascii="Arial Narrow" w:hAnsi="Arial Narrow"/>
          <w:u w:val="single"/>
          <w:lang w:val="en-GB"/>
        </w:rPr>
      </w:pPr>
      <w:r w:rsidRPr="00D02B91">
        <w:rPr>
          <w:rFonts w:ascii="Arial Narrow" w:hAnsi="Arial Narrow"/>
          <w:u w:val="single"/>
          <w:lang w:val="en-GB"/>
        </w:rPr>
        <w:t>Forced Labour</w:t>
      </w:r>
    </w:p>
    <w:p w14:paraId="145E4EA8" w14:textId="2458A6F2" w:rsidR="008902FD" w:rsidRPr="00D02B91" w:rsidRDefault="002F337C" w:rsidP="001167DE">
      <w:pPr>
        <w:jc w:val="both"/>
        <w:rPr>
          <w:rFonts w:ascii="Arial Narrow" w:hAnsi="Arial Narrow"/>
          <w:sz w:val="22"/>
          <w:szCs w:val="22"/>
        </w:rPr>
      </w:pPr>
      <w:r w:rsidRPr="00D02B91">
        <w:rPr>
          <w:rFonts w:ascii="Arial Narrow" w:hAnsi="Arial Narrow"/>
          <w:sz w:val="22"/>
          <w:szCs w:val="22"/>
        </w:rPr>
        <w:t>F</w:t>
      </w:r>
      <w:r w:rsidR="008902FD" w:rsidRPr="00D02B91">
        <w:rPr>
          <w:rFonts w:ascii="Arial Narrow" w:hAnsi="Arial Narrow"/>
          <w:sz w:val="22"/>
          <w:szCs w:val="22"/>
        </w:rPr>
        <w:t>orced labour and other human rights violations</w:t>
      </w:r>
      <w:r w:rsidRPr="00D02B91">
        <w:rPr>
          <w:rFonts w:ascii="Arial Narrow" w:hAnsi="Arial Narrow"/>
          <w:sz w:val="22"/>
          <w:szCs w:val="22"/>
        </w:rPr>
        <w:t xml:space="preserve"> can be present on-board fishing vessels and throughout the supply chain</w:t>
      </w:r>
      <w:r w:rsidR="008902FD" w:rsidRPr="00D02B91">
        <w:rPr>
          <w:rFonts w:ascii="Arial Narrow" w:hAnsi="Arial Narrow"/>
          <w:sz w:val="22"/>
          <w:szCs w:val="22"/>
        </w:rPr>
        <w:t>. In the past, the MAC has provided advice concerning the occurrence of forced labour in the</w:t>
      </w:r>
      <w:r w:rsidR="003220E7" w:rsidRPr="00D02B91">
        <w:rPr>
          <w:rFonts w:ascii="Arial Narrow" w:hAnsi="Arial Narrow"/>
          <w:sz w:val="22"/>
          <w:szCs w:val="22"/>
        </w:rPr>
        <w:t xml:space="preserve"> global supply chain</w:t>
      </w:r>
      <w:r w:rsidR="008902FD" w:rsidRPr="00D02B91">
        <w:rPr>
          <w:rFonts w:ascii="Arial Narrow" w:hAnsi="Arial Narrow"/>
          <w:sz w:val="22"/>
          <w:szCs w:val="22"/>
        </w:rPr>
        <w:t xml:space="preserve"> of fishery and aquaculture products</w:t>
      </w:r>
      <w:r w:rsidR="008902FD" w:rsidRPr="00D02B91">
        <w:rPr>
          <w:rStyle w:val="FootnoteReference"/>
          <w:rFonts w:ascii="Arial Narrow" w:hAnsi="Arial Narrow"/>
          <w:sz w:val="22"/>
          <w:szCs w:val="22"/>
        </w:rPr>
        <w:footnoteReference w:id="11"/>
      </w:r>
      <w:r w:rsidR="008902FD" w:rsidRPr="00D02B91">
        <w:rPr>
          <w:rFonts w:ascii="Arial Narrow" w:hAnsi="Arial Narrow"/>
          <w:sz w:val="22"/>
          <w:szCs w:val="22"/>
        </w:rPr>
        <w:t>. The MAC will continue to advise on this matter</w:t>
      </w:r>
      <w:r w:rsidR="003F7C36" w:rsidRPr="00D02B91">
        <w:rPr>
          <w:rFonts w:ascii="Arial Narrow" w:hAnsi="Arial Narrow"/>
          <w:sz w:val="22"/>
          <w:szCs w:val="22"/>
        </w:rPr>
        <w:t xml:space="preserve">, on an </w:t>
      </w:r>
      <w:r w:rsidR="003F7C36" w:rsidRPr="00D02B91">
        <w:rPr>
          <w:rFonts w:ascii="Arial Narrow" w:hAnsi="Arial Narrow"/>
          <w:i/>
          <w:iCs/>
          <w:sz w:val="22"/>
          <w:szCs w:val="22"/>
        </w:rPr>
        <w:t xml:space="preserve">ad hoc </w:t>
      </w:r>
      <w:r w:rsidR="003F7C36" w:rsidRPr="00D02B91">
        <w:rPr>
          <w:rFonts w:ascii="Arial Narrow" w:hAnsi="Arial Narrow"/>
          <w:sz w:val="22"/>
          <w:szCs w:val="22"/>
        </w:rPr>
        <w:t xml:space="preserve">basis. The MAC will keep in mind that cases of forced labour can be linked to IUU fishing. Therefore, when relevant, these issues </w:t>
      </w:r>
      <w:r w:rsidR="00FF451C" w:rsidRPr="00D02B91">
        <w:rPr>
          <w:rFonts w:ascii="Arial Narrow" w:hAnsi="Arial Narrow"/>
          <w:sz w:val="22"/>
          <w:szCs w:val="22"/>
        </w:rPr>
        <w:t>may</w:t>
      </w:r>
      <w:r w:rsidR="003F7C36" w:rsidRPr="00D02B91">
        <w:rPr>
          <w:rFonts w:ascii="Arial Narrow" w:hAnsi="Arial Narrow"/>
          <w:sz w:val="22"/>
          <w:szCs w:val="22"/>
        </w:rPr>
        <w:t xml:space="preserve"> be addressed jointly</w:t>
      </w:r>
      <w:r w:rsidRPr="00D02B91">
        <w:rPr>
          <w:rFonts w:ascii="Arial Narrow" w:hAnsi="Arial Narrow"/>
          <w:sz w:val="22"/>
          <w:szCs w:val="22"/>
        </w:rPr>
        <w:t xml:space="preserve">. </w:t>
      </w:r>
      <w:r w:rsidR="008902FD" w:rsidRPr="00D02B91">
        <w:rPr>
          <w:rFonts w:ascii="Arial Narrow" w:hAnsi="Arial Narrow"/>
          <w:sz w:val="22"/>
          <w:szCs w:val="22"/>
        </w:rPr>
        <w:t xml:space="preserve"> </w:t>
      </w:r>
    </w:p>
    <w:p w14:paraId="416F747B" w14:textId="6BD47BBB" w:rsidR="006847AF" w:rsidRPr="00D02B91" w:rsidRDefault="006847AF" w:rsidP="001167DE">
      <w:pPr>
        <w:jc w:val="both"/>
        <w:rPr>
          <w:rFonts w:ascii="Arial Narrow" w:hAnsi="Arial Narrow"/>
          <w:sz w:val="22"/>
          <w:szCs w:val="22"/>
        </w:rPr>
      </w:pPr>
    </w:p>
    <w:p w14:paraId="6450370E" w14:textId="6B9691DA" w:rsidR="005066B6" w:rsidRPr="00D02B91" w:rsidRDefault="006847AF" w:rsidP="006847AF">
      <w:pPr>
        <w:pStyle w:val="ListParagraph"/>
        <w:numPr>
          <w:ilvl w:val="0"/>
          <w:numId w:val="13"/>
        </w:numPr>
        <w:jc w:val="both"/>
        <w:rPr>
          <w:rFonts w:ascii="Arial Narrow" w:hAnsi="Arial Narrow"/>
          <w:u w:val="single"/>
          <w:lang w:val="en-GB"/>
        </w:rPr>
      </w:pPr>
      <w:r w:rsidRPr="00D02B91">
        <w:rPr>
          <w:rFonts w:ascii="Arial Narrow" w:hAnsi="Arial Narrow"/>
          <w:u w:val="single"/>
          <w:lang w:val="en-GB"/>
        </w:rPr>
        <w:t xml:space="preserve">European Market Observatory for Fisheries and Aquaculture (EUMOFA) </w:t>
      </w:r>
    </w:p>
    <w:p w14:paraId="3764C33B" w14:textId="503A5CFB" w:rsidR="006847AF" w:rsidRPr="00D02B91" w:rsidRDefault="006847AF" w:rsidP="001167DE">
      <w:pPr>
        <w:jc w:val="both"/>
        <w:rPr>
          <w:rFonts w:ascii="Arial Narrow" w:hAnsi="Arial Narrow"/>
          <w:sz w:val="22"/>
          <w:szCs w:val="22"/>
        </w:rPr>
      </w:pPr>
      <w:r w:rsidRPr="00D02B91">
        <w:rPr>
          <w:rFonts w:ascii="Arial Narrow" w:hAnsi="Arial Narrow"/>
          <w:sz w:val="22"/>
          <w:szCs w:val="22"/>
        </w:rPr>
        <w:t>As the European Commission’s market intelligence tool, EUMOFA increases market</w:t>
      </w:r>
      <w:r w:rsidR="00BE7F89" w:rsidRPr="00D02B91">
        <w:rPr>
          <w:rFonts w:ascii="Arial Narrow" w:hAnsi="Arial Narrow"/>
          <w:sz w:val="22"/>
          <w:szCs w:val="22"/>
        </w:rPr>
        <w:t xml:space="preserve"> knowledge</w:t>
      </w:r>
      <w:r w:rsidRPr="00D02B91">
        <w:rPr>
          <w:rFonts w:ascii="Arial Narrow" w:hAnsi="Arial Narrow"/>
          <w:sz w:val="22"/>
          <w:szCs w:val="22"/>
        </w:rPr>
        <w:t xml:space="preserve">, analyses EU market dynamics and </w:t>
      </w:r>
      <w:r w:rsidR="00BE7F89" w:rsidRPr="00D02B91">
        <w:rPr>
          <w:rFonts w:ascii="Arial Narrow" w:hAnsi="Arial Narrow"/>
          <w:sz w:val="22"/>
          <w:szCs w:val="22"/>
        </w:rPr>
        <w:t>helps</w:t>
      </w:r>
      <w:r w:rsidR="000C0777" w:rsidRPr="00D02B91">
        <w:rPr>
          <w:rFonts w:ascii="Arial Narrow" w:hAnsi="Arial Narrow"/>
          <w:sz w:val="22"/>
          <w:szCs w:val="22"/>
        </w:rPr>
        <w:t xml:space="preserve"> better informed</w:t>
      </w:r>
      <w:r w:rsidR="00BE7F89" w:rsidRPr="00D02B91">
        <w:rPr>
          <w:rFonts w:ascii="Arial Narrow" w:hAnsi="Arial Narrow"/>
          <w:sz w:val="22"/>
          <w:szCs w:val="22"/>
        </w:rPr>
        <w:t xml:space="preserve"> </w:t>
      </w:r>
      <w:r w:rsidRPr="00D02B91">
        <w:rPr>
          <w:rFonts w:ascii="Arial Narrow" w:hAnsi="Arial Narrow"/>
          <w:sz w:val="22"/>
          <w:szCs w:val="22"/>
        </w:rPr>
        <w:t>business decisions and policymaking. The ex-post information provided by EUMOFA on volumes, values and prices of fisheries and aquaculture products, including imports and exports, is greatly appreciated by the members fo</w:t>
      </w:r>
      <w:r w:rsidR="00D003FA" w:rsidRPr="00D02B91">
        <w:rPr>
          <w:rFonts w:ascii="Arial Narrow" w:hAnsi="Arial Narrow"/>
          <w:sz w:val="22"/>
          <w:szCs w:val="22"/>
        </w:rPr>
        <w:t>r</w:t>
      </w:r>
      <w:r w:rsidRPr="00D02B91">
        <w:rPr>
          <w:rFonts w:ascii="Arial Narrow" w:hAnsi="Arial Narrow"/>
          <w:sz w:val="22"/>
          <w:szCs w:val="22"/>
        </w:rPr>
        <w:t xml:space="preserve"> the MAC. Among</w:t>
      </w:r>
      <w:r w:rsidR="00D003FA" w:rsidRPr="00D02B91">
        <w:rPr>
          <w:rFonts w:ascii="Arial Narrow" w:hAnsi="Arial Narrow"/>
          <w:sz w:val="22"/>
          <w:szCs w:val="22"/>
        </w:rPr>
        <w:t xml:space="preserve"> these, the annual “The EU Fish Market” has particular importance and the MAC aims to main</w:t>
      </w:r>
      <w:r w:rsidR="00B406C5" w:rsidRPr="00D02B91">
        <w:rPr>
          <w:rFonts w:ascii="Arial Narrow" w:hAnsi="Arial Narrow"/>
          <w:sz w:val="22"/>
          <w:szCs w:val="22"/>
        </w:rPr>
        <w:t>tain</w:t>
      </w:r>
      <w:r w:rsidR="00D003FA" w:rsidRPr="00D02B91">
        <w:rPr>
          <w:rFonts w:ascii="Arial Narrow" w:hAnsi="Arial Narrow"/>
          <w:sz w:val="22"/>
          <w:szCs w:val="22"/>
        </w:rPr>
        <w:t xml:space="preserve"> the established annual exchange of views on this report. </w:t>
      </w:r>
    </w:p>
    <w:p w14:paraId="47106A01" w14:textId="77777777" w:rsidR="008902FD" w:rsidRPr="00D02B91" w:rsidRDefault="008902FD" w:rsidP="001167DE">
      <w:pPr>
        <w:jc w:val="both"/>
        <w:rPr>
          <w:rFonts w:ascii="Arial Narrow" w:hAnsi="Arial Narrow"/>
          <w:sz w:val="22"/>
          <w:szCs w:val="22"/>
        </w:rPr>
      </w:pPr>
    </w:p>
    <w:p w14:paraId="5EC7617B" w14:textId="41E24960" w:rsidR="008902FD" w:rsidRPr="00D02B91" w:rsidRDefault="008902FD" w:rsidP="001167DE">
      <w:pPr>
        <w:jc w:val="both"/>
        <w:rPr>
          <w:rFonts w:ascii="Arial Narrow" w:hAnsi="Arial Narrow"/>
          <w:sz w:val="22"/>
          <w:szCs w:val="22"/>
        </w:rPr>
      </w:pPr>
      <w:r w:rsidRPr="00D02B91">
        <w:rPr>
          <w:rFonts w:ascii="Arial Narrow" w:hAnsi="Arial Narrow"/>
          <w:sz w:val="22"/>
          <w:szCs w:val="22"/>
        </w:rPr>
        <w:lastRenderedPageBreak/>
        <w:t>In line with previous practice</w:t>
      </w:r>
      <w:r w:rsidRPr="00D02B91">
        <w:rPr>
          <w:rStyle w:val="FootnoteReference"/>
          <w:rFonts w:ascii="Arial Narrow" w:hAnsi="Arial Narrow"/>
          <w:sz w:val="22"/>
          <w:szCs w:val="22"/>
        </w:rPr>
        <w:footnoteReference w:id="12"/>
      </w:r>
      <w:r w:rsidRPr="00D02B91">
        <w:rPr>
          <w:rFonts w:ascii="Arial Narrow" w:hAnsi="Arial Narrow"/>
          <w:sz w:val="22"/>
          <w:szCs w:val="22"/>
        </w:rPr>
        <w:t xml:space="preserve">, the MAC will continue to provide suggestions for the annual work programme of EUMOFA, including on species profiles, thematic analyses, price structure analyses, and EUMOFA Talks. </w:t>
      </w:r>
    </w:p>
    <w:p w14:paraId="308C1D36" w14:textId="0A496D0C" w:rsidR="008D0953" w:rsidRPr="00D02B91" w:rsidRDefault="008D0953" w:rsidP="001167DE">
      <w:pPr>
        <w:jc w:val="both"/>
        <w:rPr>
          <w:rFonts w:ascii="Arial Narrow" w:hAnsi="Arial Narrow"/>
          <w:sz w:val="22"/>
          <w:szCs w:val="22"/>
        </w:rPr>
      </w:pPr>
    </w:p>
    <w:p w14:paraId="55AB4952" w14:textId="7003CB9B" w:rsidR="008D0953" w:rsidRPr="00D02B91" w:rsidRDefault="008D0953" w:rsidP="008D0953">
      <w:pPr>
        <w:pStyle w:val="ListParagraph"/>
        <w:numPr>
          <w:ilvl w:val="0"/>
          <w:numId w:val="13"/>
        </w:numPr>
        <w:jc w:val="both"/>
        <w:rPr>
          <w:rFonts w:ascii="Arial Narrow" w:hAnsi="Arial Narrow"/>
          <w:u w:val="single"/>
          <w:lang w:val="en-GB"/>
        </w:rPr>
      </w:pPr>
      <w:r w:rsidRPr="00D02B91">
        <w:rPr>
          <w:rFonts w:ascii="Arial Narrow" w:hAnsi="Arial Narrow"/>
          <w:u w:val="single"/>
          <w:lang w:val="en-GB"/>
        </w:rPr>
        <w:t>Scientific, Technical and Economic Committee for Fisheries (STECF)</w:t>
      </w:r>
    </w:p>
    <w:p w14:paraId="45481A06" w14:textId="1DFAD35C" w:rsidR="00E01A26" w:rsidRPr="00D02B91" w:rsidRDefault="009E2E62" w:rsidP="001167DE">
      <w:pPr>
        <w:jc w:val="both"/>
        <w:rPr>
          <w:rFonts w:ascii="Arial Narrow" w:hAnsi="Arial Narrow"/>
          <w:sz w:val="22"/>
          <w:szCs w:val="22"/>
        </w:rPr>
      </w:pPr>
      <w:r w:rsidRPr="00D02B91">
        <w:rPr>
          <w:rFonts w:ascii="Arial Narrow" w:hAnsi="Arial Narrow"/>
          <w:sz w:val="22"/>
          <w:szCs w:val="22"/>
        </w:rPr>
        <w:t>The MAC has an established collaboration with STECF, which is particularly focused on the Annual Economic Report on the EU fishing Fleet, the Economic Report of the EU Aquaculture Sector, and the Economic Report of the EU Fish Processing Industry. The practice includes presentations and exchanges of views on the mentioned reports. The MAC will also aim to ensure representation, as observers, in the relevant STECF Expert Working Group meetings. When appropriate, the MAC will also provide feedback on the reports, promote the submission of additional data by the members, and suggest topics of specific analysis, such as species, fleet segments, and geographical areas that should be considered by STECF, as well as more detailed data on aquaculture</w:t>
      </w:r>
      <w:r w:rsidR="00B406C5" w:rsidRPr="00D02B91">
        <w:rPr>
          <w:rFonts w:ascii="Arial Narrow" w:hAnsi="Arial Narrow"/>
          <w:sz w:val="22"/>
          <w:szCs w:val="22"/>
        </w:rPr>
        <w:t xml:space="preserve"> and processing</w:t>
      </w:r>
      <w:r w:rsidR="00FA29C8" w:rsidRPr="00D02B91">
        <w:rPr>
          <w:rStyle w:val="FootnoteReference"/>
          <w:rFonts w:ascii="Arial Narrow" w:hAnsi="Arial Narrow"/>
          <w:sz w:val="22"/>
          <w:szCs w:val="22"/>
        </w:rPr>
        <w:footnoteReference w:id="13"/>
      </w:r>
      <w:r w:rsidRPr="00D02B91">
        <w:rPr>
          <w:rFonts w:ascii="Arial Narrow" w:hAnsi="Arial Narrow"/>
          <w:sz w:val="22"/>
          <w:szCs w:val="22"/>
        </w:rPr>
        <w:t xml:space="preserve">. </w:t>
      </w:r>
    </w:p>
    <w:p w14:paraId="7F43E808" w14:textId="77777777" w:rsidR="00E01A26" w:rsidRPr="00D02B91" w:rsidRDefault="00E01A26" w:rsidP="001167DE">
      <w:pPr>
        <w:jc w:val="both"/>
        <w:rPr>
          <w:rFonts w:ascii="Arial Narrow" w:hAnsi="Arial Narrow"/>
          <w:sz w:val="22"/>
          <w:szCs w:val="22"/>
        </w:rPr>
      </w:pPr>
    </w:p>
    <w:p w14:paraId="67CE200A" w14:textId="1CA26557" w:rsidR="00E01A26" w:rsidRPr="00D02B91" w:rsidRDefault="00E01A26" w:rsidP="00E01A26">
      <w:pPr>
        <w:pStyle w:val="ListParagraph"/>
        <w:numPr>
          <w:ilvl w:val="0"/>
          <w:numId w:val="13"/>
        </w:numPr>
        <w:jc w:val="both"/>
        <w:rPr>
          <w:rFonts w:ascii="Arial Narrow" w:hAnsi="Arial Narrow"/>
          <w:u w:val="single"/>
          <w:lang w:val="en-GB"/>
        </w:rPr>
      </w:pPr>
      <w:r w:rsidRPr="00D02B91">
        <w:rPr>
          <w:rFonts w:ascii="Arial Narrow" w:hAnsi="Arial Narrow"/>
          <w:u w:val="single"/>
          <w:lang w:val="en-GB"/>
        </w:rPr>
        <w:t>Fisheries Control Regulation</w:t>
      </w:r>
    </w:p>
    <w:p w14:paraId="578BCA3B" w14:textId="095DEC4D" w:rsidR="00607720" w:rsidRPr="00D02B91" w:rsidRDefault="00E01A26" w:rsidP="001167DE">
      <w:pPr>
        <w:jc w:val="both"/>
        <w:rPr>
          <w:rFonts w:ascii="Arial Narrow" w:hAnsi="Arial Narrow"/>
          <w:sz w:val="22"/>
          <w:szCs w:val="22"/>
        </w:rPr>
      </w:pPr>
      <w:r w:rsidRPr="00D02B91">
        <w:rPr>
          <w:rFonts w:ascii="Arial Narrow" w:hAnsi="Arial Narrow"/>
          <w:sz w:val="22"/>
          <w:szCs w:val="22"/>
        </w:rPr>
        <w:t xml:space="preserve">Following </w:t>
      </w:r>
      <w:r w:rsidR="00AA4D14" w:rsidRPr="00D02B91">
        <w:rPr>
          <w:rFonts w:ascii="Arial Narrow" w:hAnsi="Arial Narrow"/>
          <w:sz w:val="22"/>
          <w:szCs w:val="22"/>
        </w:rPr>
        <w:t>five</w:t>
      </w:r>
      <w:r w:rsidRPr="00D02B91">
        <w:rPr>
          <w:rFonts w:ascii="Arial Narrow" w:hAnsi="Arial Narrow"/>
          <w:sz w:val="22"/>
          <w:szCs w:val="22"/>
        </w:rPr>
        <w:t xml:space="preserve"> years of negotiations</w:t>
      </w:r>
      <w:r w:rsidR="00395AFB" w:rsidRPr="00D02B91">
        <w:rPr>
          <w:rFonts w:ascii="Arial Narrow" w:hAnsi="Arial Narrow"/>
          <w:sz w:val="22"/>
          <w:szCs w:val="22"/>
        </w:rPr>
        <w:t xml:space="preserve"> on the revision of the EU fisheries control system regulation</w:t>
      </w:r>
      <w:r w:rsidRPr="00D02B91">
        <w:rPr>
          <w:rFonts w:ascii="Arial Narrow" w:hAnsi="Arial Narrow"/>
          <w:sz w:val="22"/>
          <w:szCs w:val="22"/>
        </w:rPr>
        <w:t xml:space="preserve">, </w:t>
      </w:r>
      <w:r w:rsidR="005D3E78" w:rsidRPr="00D02B91">
        <w:rPr>
          <w:rFonts w:ascii="Arial Narrow" w:hAnsi="Arial Narrow"/>
          <w:sz w:val="22"/>
          <w:szCs w:val="22"/>
        </w:rPr>
        <w:t>the revised Fisheries Control Regulation</w:t>
      </w:r>
      <w:r w:rsidR="00365DC7" w:rsidRPr="00D02B91">
        <w:rPr>
          <w:rFonts w:ascii="Arial Narrow" w:hAnsi="Arial Narrow"/>
          <w:sz w:val="22"/>
          <w:szCs w:val="22"/>
        </w:rPr>
        <w:t xml:space="preserve"> </w:t>
      </w:r>
      <w:r w:rsidR="003D5467" w:rsidRPr="00D02B91">
        <w:rPr>
          <w:rFonts w:ascii="Arial Narrow" w:hAnsi="Arial Narrow"/>
          <w:sz w:val="22"/>
          <w:szCs w:val="22"/>
        </w:rPr>
        <w:t xml:space="preserve">was published </w:t>
      </w:r>
      <w:r w:rsidR="004B2FDC" w:rsidRPr="00D02B91">
        <w:rPr>
          <w:rFonts w:ascii="Arial Narrow" w:hAnsi="Arial Narrow"/>
          <w:sz w:val="22"/>
          <w:szCs w:val="22"/>
        </w:rPr>
        <w:t xml:space="preserve">on </w:t>
      </w:r>
      <w:r w:rsidR="007B7C77" w:rsidRPr="00D02B91">
        <w:rPr>
          <w:rFonts w:ascii="Arial Narrow" w:hAnsi="Arial Narrow"/>
          <w:sz w:val="22"/>
          <w:szCs w:val="22"/>
        </w:rPr>
        <w:t>20 December</w:t>
      </w:r>
      <w:r w:rsidR="004B2FDC" w:rsidRPr="00D02B91">
        <w:rPr>
          <w:rFonts w:ascii="Arial Narrow" w:hAnsi="Arial Narrow"/>
          <w:sz w:val="22"/>
          <w:szCs w:val="22"/>
        </w:rPr>
        <w:t xml:space="preserve"> </w:t>
      </w:r>
      <w:r w:rsidRPr="00D02B91">
        <w:rPr>
          <w:rFonts w:ascii="Arial Narrow" w:hAnsi="Arial Narrow"/>
          <w:sz w:val="22"/>
          <w:szCs w:val="22"/>
        </w:rPr>
        <w:t xml:space="preserve"> 2023, </w:t>
      </w:r>
      <w:r w:rsidR="007F43B2" w:rsidRPr="00D02B91">
        <w:rPr>
          <w:rFonts w:ascii="Arial Narrow" w:hAnsi="Arial Narrow"/>
          <w:sz w:val="22"/>
          <w:szCs w:val="22"/>
        </w:rPr>
        <w:t xml:space="preserve">and its provisions will progressively enter into force between </w:t>
      </w:r>
      <w:r w:rsidR="00415CFF" w:rsidRPr="00D02B91">
        <w:rPr>
          <w:rFonts w:ascii="Arial Narrow" w:hAnsi="Arial Narrow"/>
          <w:sz w:val="22"/>
          <w:szCs w:val="22"/>
        </w:rPr>
        <w:t xml:space="preserve">10 January </w:t>
      </w:r>
      <w:r w:rsidR="007F43B2" w:rsidRPr="00D02B91">
        <w:rPr>
          <w:rFonts w:ascii="Arial Narrow" w:hAnsi="Arial Narrow"/>
          <w:sz w:val="22"/>
          <w:szCs w:val="22"/>
        </w:rPr>
        <w:t xml:space="preserve">2024 and </w:t>
      </w:r>
      <w:r w:rsidR="00415CFF" w:rsidRPr="00D02B91">
        <w:rPr>
          <w:rFonts w:ascii="Arial Narrow" w:hAnsi="Arial Narrow"/>
          <w:sz w:val="22"/>
          <w:szCs w:val="22"/>
        </w:rPr>
        <w:t xml:space="preserve">10 January </w:t>
      </w:r>
      <w:r w:rsidR="007F43B2" w:rsidRPr="00D02B91">
        <w:rPr>
          <w:rFonts w:ascii="Arial Narrow" w:hAnsi="Arial Narrow"/>
          <w:sz w:val="22"/>
          <w:szCs w:val="22"/>
        </w:rPr>
        <w:t>2029</w:t>
      </w:r>
      <w:r w:rsidRPr="00D02B91">
        <w:rPr>
          <w:rFonts w:ascii="Arial Narrow" w:hAnsi="Arial Narrow"/>
          <w:sz w:val="22"/>
          <w:szCs w:val="22"/>
        </w:rPr>
        <w:t xml:space="preserve">. </w:t>
      </w:r>
      <w:r w:rsidR="00607720" w:rsidRPr="00D02B91">
        <w:rPr>
          <w:rFonts w:ascii="Arial Narrow" w:hAnsi="Arial Narrow"/>
          <w:sz w:val="22"/>
          <w:szCs w:val="22"/>
        </w:rPr>
        <w:t xml:space="preserve">From a market-perspective, several provisions of the revised Regulation are quite relevant for the entire supply chain, particularly on the traceability of fishery and aquaculture products and the </w:t>
      </w:r>
      <w:r w:rsidR="00415CFF" w:rsidRPr="00D02B91">
        <w:rPr>
          <w:rFonts w:ascii="Arial Narrow" w:hAnsi="Arial Narrow"/>
          <w:sz w:val="22"/>
          <w:szCs w:val="22"/>
        </w:rPr>
        <w:t xml:space="preserve">new </w:t>
      </w:r>
      <w:r w:rsidR="00607720" w:rsidRPr="00D02B91">
        <w:rPr>
          <w:rFonts w:ascii="Arial Narrow" w:hAnsi="Arial Narrow"/>
          <w:sz w:val="22"/>
          <w:szCs w:val="22"/>
        </w:rPr>
        <w:t>CATCH IT tool. The relationship between these provisions and the C</w:t>
      </w:r>
      <w:r w:rsidR="005D4666" w:rsidRPr="00D02B91">
        <w:rPr>
          <w:rFonts w:ascii="Arial Narrow" w:hAnsi="Arial Narrow"/>
          <w:sz w:val="22"/>
          <w:szCs w:val="22"/>
        </w:rPr>
        <w:t>ommon Market Regulation</w:t>
      </w:r>
      <w:r w:rsidR="00607720" w:rsidRPr="00D02B91">
        <w:rPr>
          <w:rFonts w:ascii="Arial Narrow" w:hAnsi="Arial Narrow"/>
          <w:sz w:val="22"/>
          <w:szCs w:val="22"/>
        </w:rPr>
        <w:t xml:space="preserve">, particularly on labelling and information to consumers is also especially relevant. </w:t>
      </w:r>
    </w:p>
    <w:p w14:paraId="2A7A21C7" w14:textId="77777777" w:rsidR="00607720" w:rsidRPr="00D02B91" w:rsidRDefault="00607720" w:rsidP="001167DE">
      <w:pPr>
        <w:jc w:val="both"/>
        <w:rPr>
          <w:rFonts w:ascii="Arial Narrow" w:hAnsi="Arial Narrow"/>
          <w:sz w:val="22"/>
          <w:szCs w:val="22"/>
        </w:rPr>
      </w:pPr>
    </w:p>
    <w:p w14:paraId="70E837BE" w14:textId="6107A223" w:rsidR="005D3E78" w:rsidRPr="00D02B91" w:rsidRDefault="00607720" w:rsidP="001167DE">
      <w:pPr>
        <w:jc w:val="both"/>
        <w:rPr>
          <w:rFonts w:ascii="Arial Narrow" w:hAnsi="Arial Narrow"/>
          <w:sz w:val="22"/>
          <w:szCs w:val="22"/>
        </w:rPr>
      </w:pPr>
      <w:r w:rsidRPr="00D02B91">
        <w:rPr>
          <w:rFonts w:ascii="Arial Narrow" w:hAnsi="Arial Narrow"/>
          <w:sz w:val="22"/>
          <w:szCs w:val="22"/>
        </w:rPr>
        <w:t>Under the eight operational year, the MAC adopted advice on the Terms of Reference of the study on feasible traceability systems and procedures for prepared and preserved fishery and aquaculture products</w:t>
      </w:r>
      <w:r w:rsidR="00A50673" w:rsidRPr="00D02B91">
        <w:rPr>
          <w:rStyle w:val="FootnoteReference"/>
          <w:rFonts w:ascii="Arial Narrow" w:hAnsi="Arial Narrow"/>
          <w:sz w:val="22"/>
          <w:szCs w:val="22"/>
        </w:rPr>
        <w:footnoteReference w:id="14"/>
      </w:r>
      <w:r w:rsidRPr="00D02B91">
        <w:rPr>
          <w:rFonts w:ascii="Arial Narrow" w:hAnsi="Arial Narrow"/>
          <w:sz w:val="22"/>
          <w:szCs w:val="22"/>
        </w:rPr>
        <w:t xml:space="preserve">. </w:t>
      </w:r>
      <w:r w:rsidR="005D3E78" w:rsidRPr="00D02B91">
        <w:rPr>
          <w:rFonts w:ascii="Arial Narrow" w:hAnsi="Arial Narrow"/>
          <w:sz w:val="22"/>
          <w:szCs w:val="22"/>
        </w:rPr>
        <w:t>Under the ninth operational year, the MAC adopted advice on the planned delegated act on additional rules for traceability of fresh and frozen fishery and aquaculture products and markings of lots</w:t>
      </w:r>
      <w:r w:rsidR="005D4666" w:rsidRPr="00D02B91">
        <w:rPr>
          <w:rStyle w:val="FootnoteReference"/>
          <w:rFonts w:ascii="Arial Narrow" w:hAnsi="Arial Narrow"/>
          <w:sz w:val="22"/>
          <w:szCs w:val="22"/>
        </w:rPr>
        <w:footnoteReference w:id="15"/>
      </w:r>
      <w:r w:rsidR="005D3E78" w:rsidRPr="00D02B91">
        <w:rPr>
          <w:rFonts w:ascii="Arial Narrow" w:hAnsi="Arial Narrow"/>
          <w:sz w:val="22"/>
          <w:szCs w:val="22"/>
        </w:rPr>
        <w:t xml:space="preserve">. </w:t>
      </w:r>
    </w:p>
    <w:p w14:paraId="6D48BAD6" w14:textId="77777777" w:rsidR="005D3E78" w:rsidRPr="00D02B91" w:rsidRDefault="005D3E78" w:rsidP="001167DE">
      <w:pPr>
        <w:jc w:val="both"/>
        <w:rPr>
          <w:rFonts w:ascii="Arial Narrow" w:hAnsi="Arial Narrow"/>
          <w:sz w:val="22"/>
          <w:szCs w:val="22"/>
        </w:rPr>
      </w:pPr>
    </w:p>
    <w:p w14:paraId="6E9F6263" w14:textId="09794826" w:rsidR="005D3E78" w:rsidRPr="00D02B91" w:rsidRDefault="005D3E78" w:rsidP="001167DE">
      <w:pPr>
        <w:jc w:val="both"/>
        <w:rPr>
          <w:rFonts w:ascii="Arial Narrow" w:hAnsi="Arial Narrow"/>
          <w:sz w:val="22"/>
          <w:szCs w:val="22"/>
        </w:rPr>
      </w:pPr>
      <w:r w:rsidRPr="00D02B91">
        <w:rPr>
          <w:rFonts w:ascii="Arial Narrow" w:hAnsi="Arial Narrow"/>
          <w:sz w:val="22"/>
          <w:szCs w:val="22"/>
        </w:rPr>
        <w:t xml:space="preserve">The MAC will continue to assist the Commission in the implementation of the new provisions of the Fisheries Control Regulation, particularly the development of the study on feasible traceability systems, the adoption of the delegated rules, and the </w:t>
      </w:r>
      <w:r w:rsidR="005D4666" w:rsidRPr="00D02B91">
        <w:rPr>
          <w:rFonts w:ascii="Arial Narrow" w:hAnsi="Arial Narrow"/>
          <w:sz w:val="22"/>
          <w:szCs w:val="22"/>
        </w:rPr>
        <w:t xml:space="preserve">implementation </w:t>
      </w:r>
      <w:r w:rsidRPr="00D02B91">
        <w:rPr>
          <w:rFonts w:ascii="Arial Narrow" w:hAnsi="Arial Narrow"/>
          <w:sz w:val="22"/>
          <w:szCs w:val="22"/>
        </w:rPr>
        <w:t>of the digital catch certificate (CATCH IT) system.</w:t>
      </w:r>
    </w:p>
    <w:p w14:paraId="19EC8F4B" w14:textId="2BFABA67" w:rsidR="00FE1493" w:rsidRPr="00D02B91" w:rsidRDefault="00FE1493">
      <w:pPr>
        <w:rPr>
          <w:rFonts w:ascii="Arial Narrow" w:hAnsi="Arial Narrow"/>
          <w:b/>
          <w:bCs/>
          <w:sz w:val="22"/>
          <w:szCs w:val="22"/>
          <w:u w:val="single"/>
        </w:rPr>
      </w:pPr>
    </w:p>
    <w:p w14:paraId="1868BE0A" w14:textId="4C1399A9" w:rsidR="00B701D5" w:rsidRPr="00D02B91" w:rsidRDefault="00B701D5" w:rsidP="007C2D0C">
      <w:pPr>
        <w:shd w:val="clear" w:color="auto" w:fill="FFFFFF" w:themeFill="background1"/>
        <w:jc w:val="both"/>
        <w:rPr>
          <w:rFonts w:ascii="Arial Narrow" w:hAnsi="Arial Narrow"/>
          <w:sz w:val="22"/>
          <w:u w:val="single"/>
        </w:rPr>
      </w:pPr>
      <w:r w:rsidRPr="00D02B91">
        <w:rPr>
          <w:rFonts w:ascii="Arial Narrow" w:hAnsi="Arial Narrow"/>
          <w:b/>
          <w:bCs/>
          <w:sz w:val="22"/>
          <w:szCs w:val="22"/>
          <w:u w:val="single"/>
        </w:rPr>
        <w:t xml:space="preserve">Work priorities identified </w:t>
      </w:r>
      <w:r w:rsidR="0014301A" w:rsidRPr="00D02B91">
        <w:rPr>
          <w:rFonts w:ascii="Arial Narrow" w:hAnsi="Arial Narrow"/>
          <w:b/>
          <w:bCs/>
          <w:sz w:val="22"/>
          <w:szCs w:val="22"/>
          <w:u w:val="single"/>
        </w:rPr>
        <w:t>for each</w:t>
      </w:r>
      <w:r w:rsidRPr="00D02B91">
        <w:rPr>
          <w:rFonts w:ascii="Arial Narrow" w:hAnsi="Arial Narrow"/>
          <w:b/>
          <w:bCs/>
          <w:sz w:val="22"/>
          <w:szCs w:val="22"/>
          <w:u w:val="single"/>
        </w:rPr>
        <w:t xml:space="preserve"> Working Group</w:t>
      </w:r>
      <w:r w:rsidR="00F217A6" w:rsidRPr="00D02B91">
        <w:rPr>
          <w:rFonts w:ascii="Arial Narrow" w:hAnsi="Arial Narrow"/>
          <w:b/>
          <w:bCs/>
          <w:sz w:val="22"/>
          <w:szCs w:val="22"/>
          <w:u w:val="single"/>
        </w:rPr>
        <w:t xml:space="preserve"> </w:t>
      </w:r>
      <w:r w:rsidR="002D3BB2" w:rsidRPr="00D02B91">
        <w:rPr>
          <w:rFonts w:ascii="Arial Narrow" w:hAnsi="Arial Narrow"/>
          <w:b/>
          <w:bCs/>
          <w:sz w:val="22"/>
          <w:szCs w:val="22"/>
          <w:u w:val="single"/>
        </w:rPr>
        <w:t xml:space="preserve">and </w:t>
      </w:r>
      <w:r w:rsidR="00F217A6" w:rsidRPr="00D02B91">
        <w:rPr>
          <w:rFonts w:ascii="Arial Narrow" w:hAnsi="Arial Narrow"/>
          <w:b/>
          <w:bCs/>
          <w:sz w:val="22"/>
          <w:szCs w:val="22"/>
          <w:u w:val="single"/>
        </w:rPr>
        <w:t>Focus Group</w:t>
      </w:r>
      <w:r w:rsidR="00FC7841" w:rsidRPr="00D02B91">
        <w:rPr>
          <w:rFonts w:ascii="Arial Narrow" w:hAnsi="Arial Narrow"/>
          <w:b/>
          <w:bCs/>
          <w:sz w:val="22"/>
          <w:szCs w:val="22"/>
          <w:u w:val="single"/>
        </w:rPr>
        <w:t xml:space="preserve"> (where available)</w:t>
      </w:r>
    </w:p>
    <w:p w14:paraId="3AD5207F" w14:textId="77777777" w:rsidR="00FE1493" w:rsidRPr="00D02B91" w:rsidRDefault="00FE1493">
      <w:pPr>
        <w:rPr>
          <w:rFonts w:ascii="Arial Narrow" w:hAnsi="Arial Narrow"/>
          <w:b/>
          <w:bCs/>
          <w:sz w:val="22"/>
          <w:szCs w:val="22"/>
        </w:rPr>
      </w:pPr>
    </w:p>
    <w:p w14:paraId="79E9C6BE" w14:textId="00D1AD40" w:rsidR="00006545" w:rsidRPr="00D02B91" w:rsidRDefault="008E43B4">
      <w:pPr>
        <w:rPr>
          <w:rFonts w:ascii="Arial Narrow" w:hAnsi="Arial Narrow"/>
          <w:bCs/>
          <w:sz w:val="22"/>
          <w:szCs w:val="22"/>
        </w:rPr>
      </w:pPr>
      <w:r w:rsidRPr="00D02B91">
        <w:rPr>
          <w:rFonts w:ascii="Arial Narrow" w:hAnsi="Arial Narrow"/>
          <w:bCs/>
          <w:sz w:val="22"/>
          <w:szCs w:val="22"/>
        </w:rPr>
        <w:t>Working Group 1</w:t>
      </w:r>
      <w:r w:rsidR="00EF0C51" w:rsidRPr="00D02B91">
        <w:rPr>
          <w:rFonts w:ascii="Arial Narrow" w:hAnsi="Arial Narrow"/>
          <w:bCs/>
          <w:sz w:val="22"/>
          <w:szCs w:val="22"/>
        </w:rPr>
        <w:t xml:space="preserve"> (EU Production)</w:t>
      </w:r>
      <w:r w:rsidRPr="00D02B91">
        <w:rPr>
          <w:rFonts w:ascii="Arial Narrow" w:hAnsi="Arial Narrow"/>
          <w:bCs/>
          <w:sz w:val="22"/>
          <w:szCs w:val="22"/>
        </w:rPr>
        <w:t xml:space="preserve">: </w:t>
      </w:r>
    </w:p>
    <w:p w14:paraId="06F01AF7" w14:textId="44471760" w:rsidR="00E83CF7" w:rsidRPr="00D02B91" w:rsidRDefault="00E83CF7">
      <w:pPr>
        <w:rPr>
          <w:rFonts w:ascii="Arial Narrow" w:hAnsi="Arial Narrow"/>
          <w:bCs/>
          <w:sz w:val="22"/>
          <w:szCs w:val="22"/>
        </w:rPr>
      </w:pPr>
    </w:p>
    <w:p w14:paraId="76589234" w14:textId="45A4D6FC" w:rsidR="00E83CF7" w:rsidRPr="00D02B91" w:rsidRDefault="00E83CF7" w:rsidP="00E83CF7">
      <w:pPr>
        <w:pStyle w:val="ListParagraph"/>
        <w:numPr>
          <w:ilvl w:val="0"/>
          <w:numId w:val="12"/>
        </w:numPr>
        <w:rPr>
          <w:rFonts w:ascii="Arial Narrow" w:hAnsi="Arial Narrow"/>
          <w:lang w:val="en-GB"/>
        </w:rPr>
      </w:pPr>
      <w:r w:rsidRPr="00D02B91">
        <w:rPr>
          <w:rFonts w:ascii="Arial Narrow" w:hAnsi="Arial Narrow"/>
          <w:lang w:val="en-GB"/>
        </w:rPr>
        <w:t>Common Market Organisation (production and marketing plans, producers and interbranch organisations, planning, stabilisation of markets)</w:t>
      </w:r>
    </w:p>
    <w:p w14:paraId="5FD86A4C" w14:textId="72FA8074" w:rsidR="00E83CF7" w:rsidRPr="00D02B91" w:rsidRDefault="00E83CF7" w:rsidP="00E83CF7">
      <w:pPr>
        <w:pStyle w:val="ListParagraph"/>
        <w:numPr>
          <w:ilvl w:val="0"/>
          <w:numId w:val="12"/>
        </w:numPr>
        <w:rPr>
          <w:rFonts w:ascii="Arial Narrow" w:hAnsi="Arial Narrow"/>
          <w:lang w:val="en-GB"/>
        </w:rPr>
      </w:pPr>
      <w:r w:rsidRPr="00D02B91">
        <w:rPr>
          <w:rFonts w:ascii="Arial Narrow" w:hAnsi="Arial Narrow"/>
          <w:lang w:val="en-GB"/>
        </w:rPr>
        <w:t>European Maritime and Fisheries and Aquaculture Fund</w:t>
      </w:r>
    </w:p>
    <w:p w14:paraId="61D88948" w14:textId="4F3D1AB2" w:rsidR="00E83CF7" w:rsidRPr="00D02B91" w:rsidRDefault="00E83CF7" w:rsidP="00E83CF7">
      <w:pPr>
        <w:pStyle w:val="ListParagraph"/>
        <w:numPr>
          <w:ilvl w:val="0"/>
          <w:numId w:val="12"/>
        </w:numPr>
        <w:rPr>
          <w:rFonts w:ascii="Arial Narrow" w:hAnsi="Arial Narrow"/>
          <w:lang w:val="en-GB"/>
        </w:rPr>
      </w:pPr>
      <w:r w:rsidRPr="00D02B91">
        <w:rPr>
          <w:rFonts w:ascii="Arial Narrow" w:hAnsi="Arial Narrow"/>
          <w:lang w:val="en-GB"/>
        </w:rPr>
        <w:t>Marketing Standards framework</w:t>
      </w:r>
      <w:r w:rsidR="003B242F" w:rsidRPr="00D02B91">
        <w:rPr>
          <w:rFonts w:ascii="Arial Narrow" w:hAnsi="Arial Narrow"/>
          <w:lang w:val="en-GB"/>
        </w:rPr>
        <w:t xml:space="preserve"> </w:t>
      </w:r>
    </w:p>
    <w:p w14:paraId="4E3E4220" w14:textId="7F6083ED" w:rsidR="00E83CF7" w:rsidRPr="00D02B91" w:rsidRDefault="00E83CF7" w:rsidP="00E83CF7">
      <w:pPr>
        <w:pStyle w:val="ListParagraph"/>
        <w:numPr>
          <w:ilvl w:val="0"/>
          <w:numId w:val="12"/>
        </w:numPr>
        <w:rPr>
          <w:rFonts w:ascii="Arial Narrow" w:hAnsi="Arial Narrow"/>
          <w:lang w:val="en-GB"/>
        </w:rPr>
      </w:pPr>
      <w:r w:rsidRPr="00D02B91">
        <w:rPr>
          <w:rFonts w:ascii="Arial Narrow" w:hAnsi="Arial Narrow"/>
          <w:lang w:val="en-GB"/>
        </w:rPr>
        <w:t xml:space="preserve">Implication of </w:t>
      </w:r>
      <w:r w:rsidR="00C42A3F" w:rsidRPr="00D02B91">
        <w:rPr>
          <w:rFonts w:ascii="Arial Narrow" w:hAnsi="Arial Narrow"/>
          <w:lang w:val="en-GB"/>
        </w:rPr>
        <w:t>F</w:t>
      </w:r>
      <w:r w:rsidRPr="00D02B91">
        <w:rPr>
          <w:rFonts w:ascii="Arial Narrow" w:hAnsi="Arial Narrow"/>
          <w:lang w:val="en-GB"/>
        </w:rPr>
        <w:t xml:space="preserve">isheries </w:t>
      </w:r>
      <w:r w:rsidR="00C42A3F" w:rsidRPr="00D02B91">
        <w:rPr>
          <w:rFonts w:ascii="Arial Narrow" w:hAnsi="Arial Narrow"/>
          <w:lang w:val="en-GB"/>
        </w:rPr>
        <w:t>C</w:t>
      </w:r>
      <w:r w:rsidRPr="00D02B91">
        <w:rPr>
          <w:rFonts w:ascii="Arial Narrow" w:hAnsi="Arial Narrow"/>
          <w:lang w:val="en-GB"/>
        </w:rPr>
        <w:t xml:space="preserve">ontrol </w:t>
      </w:r>
      <w:r w:rsidR="00C42A3F" w:rsidRPr="00D02B91">
        <w:rPr>
          <w:rFonts w:ascii="Arial Narrow" w:hAnsi="Arial Narrow"/>
          <w:lang w:val="en-GB"/>
        </w:rPr>
        <w:t xml:space="preserve">Regulation </w:t>
      </w:r>
      <w:r w:rsidRPr="00D02B91">
        <w:rPr>
          <w:rFonts w:ascii="Arial Narrow" w:hAnsi="Arial Narrow"/>
          <w:lang w:val="en-GB"/>
        </w:rPr>
        <w:t xml:space="preserve">on EU production </w:t>
      </w:r>
    </w:p>
    <w:p w14:paraId="56514E52" w14:textId="526B4B08" w:rsidR="00E83CF7" w:rsidRPr="00D02B91" w:rsidRDefault="00E83CF7" w:rsidP="00E83CF7">
      <w:pPr>
        <w:pStyle w:val="ListParagraph"/>
        <w:numPr>
          <w:ilvl w:val="0"/>
          <w:numId w:val="12"/>
        </w:numPr>
        <w:rPr>
          <w:rFonts w:ascii="Arial Narrow" w:hAnsi="Arial Narrow"/>
          <w:lang w:val="en-GB"/>
        </w:rPr>
      </w:pPr>
      <w:r w:rsidRPr="00D02B91">
        <w:rPr>
          <w:rFonts w:ascii="Arial Narrow" w:hAnsi="Arial Narrow"/>
          <w:lang w:val="en-GB"/>
        </w:rPr>
        <w:t>Landing obligation</w:t>
      </w:r>
      <w:r w:rsidR="001E41D7" w:rsidRPr="00D02B91">
        <w:rPr>
          <w:rFonts w:ascii="Arial Narrow" w:hAnsi="Arial Narrow"/>
          <w:lang w:val="en-GB"/>
        </w:rPr>
        <w:t xml:space="preserve"> </w:t>
      </w:r>
      <w:r w:rsidR="00573847" w:rsidRPr="00D02B91">
        <w:rPr>
          <w:rFonts w:ascii="Arial Narrow" w:hAnsi="Arial Narrow"/>
          <w:lang w:val="en-GB"/>
        </w:rPr>
        <w:t xml:space="preserve">(e.g., available uses, market outlets, effects on prices, socioeconomic aspects, infrastructure and cooperation across the supply chain) </w:t>
      </w:r>
    </w:p>
    <w:p w14:paraId="2C39A31F" w14:textId="25F985A7" w:rsidR="009D5A15" w:rsidRPr="00D02B91" w:rsidRDefault="00E83CF7" w:rsidP="009D5A15">
      <w:pPr>
        <w:pStyle w:val="ListParagraph"/>
        <w:numPr>
          <w:ilvl w:val="0"/>
          <w:numId w:val="12"/>
        </w:numPr>
        <w:rPr>
          <w:rFonts w:ascii="Arial Narrow" w:hAnsi="Arial Narrow"/>
          <w:lang w:val="en-GB"/>
        </w:rPr>
      </w:pPr>
      <w:r w:rsidRPr="00D02B91">
        <w:rPr>
          <w:rFonts w:ascii="Arial Narrow" w:hAnsi="Arial Narrow"/>
          <w:lang w:val="en-GB"/>
        </w:rPr>
        <w:lastRenderedPageBreak/>
        <w:t>EUMOFA</w:t>
      </w:r>
      <w:r w:rsidR="00A50673" w:rsidRPr="00D02B91">
        <w:rPr>
          <w:rFonts w:ascii="Arial Narrow" w:hAnsi="Arial Narrow"/>
          <w:lang w:val="en-GB"/>
        </w:rPr>
        <w:t xml:space="preserve">’s work programme (species profiles, case studies, conferences) </w:t>
      </w:r>
    </w:p>
    <w:p w14:paraId="288F1FBB" w14:textId="77777777" w:rsidR="00A94A1B" w:rsidRPr="00D02B91" w:rsidRDefault="009D5A15" w:rsidP="009D5A15">
      <w:pPr>
        <w:pStyle w:val="ListParagraph"/>
        <w:numPr>
          <w:ilvl w:val="0"/>
          <w:numId w:val="12"/>
        </w:numPr>
        <w:rPr>
          <w:rFonts w:ascii="Arial Narrow" w:hAnsi="Arial Narrow"/>
          <w:lang w:val="en-GB"/>
        </w:rPr>
      </w:pPr>
      <w:r w:rsidRPr="00D02B91">
        <w:rPr>
          <w:rFonts w:ascii="Arial Narrow" w:hAnsi="Arial Narrow"/>
          <w:lang w:val="en-GB"/>
        </w:rPr>
        <w:t>Economic viability of the fleet and of the aquaculture sector (collaboration with STECF)</w:t>
      </w:r>
    </w:p>
    <w:p w14:paraId="3601144B" w14:textId="0D341275" w:rsidR="00763D96" w:rsidRPr="00D02B91" w:rsidRDefault="00A94A1B" w:rsidP="005D3E78">
      <w:pPr>
        <w:pStyle w:val="ListParagraph"/>
        <w:numPr>
          <w:ilvl w:val="0"/>
          <w:numId w:val="12"/>
        </w:numPr>
        <w:rPr>
          <w:rFonts w:ascii="Arial Narrow" w:hAnsi="Arial Narrow"/>
          <w:lang w:val="en-GB"/>
        </w:rPr>
      </w:pPr>
      <w:r w:rsidRPr="00D02B91">
        <w:rPr>
          <w:rFonts w:ascii="Arial Narrow" w:hAnsi="Arial Narrow"/>
          <w:lang w:val="en-GB"/>
        </w:rPr>
        <w:t>Sustainability criteria for fishery and aquaculture products</w:t>
      </w:r>
      <w:r w:rsidR="009D5A15" w:rsidRPr="00D02B91">
        <w:rPr>
          <w:rFonts w:ascii="Arial Narrow" w:hAnsi="Arial Narrow"/>
          <w:lang w:val="en-GB"/>
        </w:rPr>
        <w:t xml:space="preserve"> </w:t>
      </w:r>
    </w:p>
    <w:p w14:paraId="4151CC9C" w14:textId="68E5171C" w:rsidR="004E7DFF" w:rsidRPr="00D02B91" w:rsidRDefault="008E43B4" w:rsidP="002D3BB2">
      <w:pPr>
        <w:rPr>
          <w:rFonts w:ascii="Arial Narrow" w:hAnsi="Arial Narrow"/>
          <w:bCs/>
          <w:sz w:val="22"/>
          <w:szCs w:val="22"/>
        </w:rPr>
      </w:pPr>
      <w:r w:rsidRPr="00D02B91">
        <w:rPr>
          <w:rFonts w:ascii="Arial Narrow" w:hAnsi="Arial Narrow"/>
          <w:bCs/>
          <w:sz w:val="22"/>
          <w:szCs w:val="22"/>
        </w:rPr>
        <w:t>Working Group 2</w:t>
      </w:r>
      <w:r w:rsidR="00EF0C51" w:rsidRPr="00D02B91">
        <w:rPr>
          <w:rFonts w:ascii="Arial Narrow" w:hAnsi="Arial Narrow"/>
          <w:bCs/>
          <w:sz w:val="22"/>
          <w:szCs w:val="22"/>
        </w:rPr>
        <w:t xml:space="preserve"> (EU Markets)</w:t>
      </w:r>
      <w:r w:rsidRPr="00D02B91">
        <w:rPr>
          <w:rFonts w:ascii="Arial Narrow" w:hAnsi="Arial Narrow"/>
          <w:bCs/>
          <w:sz w:val="22"/>
          <w:szCs w:val="22"/>
        </w:rPr>
        <w:t xml:space="preserve">: </w:t>
      </w:r>
    </w:p>
    <w:p w14:paraId="37B46D3B" w14:textId="77777777" w:rsidR="003B242F" w:rsidRPr="00D02B91" w:rsidRDefault="003B242F" w:rsidP="002D3BB2">
      <w:pPr>
        <w:rPr>
          <w:rFonts w:ascii="Arial Narrow" w:hAnsi="Arial Narrow"/>
          <w:bCs/>
          <w:sz w:val="22"/>
          <w:szCs w:val="22"/>
        </w:rPr>
      </w:pPr>
    </w:p>
    <w:p w14:paraId="10855349" w14:textId="3DEF3377" w:rsidR="003B242F" w:rsidRPr="00D02B91" w:rsidRDefault="003B242F" w:rsidP="003B242F">
      <w:pPr>
        <w:pStyle w:val="ListParagraph"/>
        <w:numPr>
          <w:ilvl w:val="0"/>
          <w:numId w:val="12"/>
        </w:numPr>
        <w:rPr>
          <w:rFonts w:ascii="Arial Narrow" w:hAnsi="Arial Narrow"/>
          <w:bCs/>
          <w:lang w:val="en-GB"/>
        </w:rPr>
      </w:pPr>
      <w:r w:rsidRPr="00D02B91">
        <w:rPr>
          <w:rFonts w:ascii="Arial Narrow" w:hAnsi="Arial Narrow"/>
          <w:bCs/>
          <w:lang w:val="en-GB"/>
        </w:rPr>
        <w:t>Supply (annual status and trends)</w:t>
      </w:r>
    </w:p>
    <w:p w14:paraId="1C9634E0" w14:textId="456A9B2F" w:rsidR="003B242F" w:rsidRPr="00D02B91" w:rsidRDefault="003B242F" w:rsidP="003B242F">
      <w:pPr>
        <w:pStyle w:val="ListParagraph"/>
        <w:numPr>
          <w:ilvl w:val="0"/>
          <w:numId w:val="12"/>
        </w:numPr>
        <w:rPr>
          <w:rFonts w:ascii="Arial Narrow" w:hAnsi="Arial Narrow"/>
          <w:bCs/>
          <w:lang w:val="en-GB"/>
        </w:rPr>
      </w:pPr>
      <w:r w:rsidRPr="00D02B91">
        <w:rPr>
          <w:rFonts w:ascii="Arial Narrow" w:hAnsi="Arial Narrow"/>
          <w:bCs/>
          <w:lang w:val="en-GB"/>
        </w:rPr>
        <w:t xml:space="preserve">Trade with third countries (Community Customs Code, General System of Preferences, Free Trade Agreements, Economic Partnership Agreements, World Trade Organisation) </w:t>
      </w:r>
    </w:p>
    <w:p w14:paraId="25D04274" w14:textId="27F3DDDC" w:rsidR="003B242F" w:rsidRPr="00D02B91" w:rsidRDefault="003B242F" w:rsidP="003B242F">
      <w:pPr>
        <w:pStyle w:val="ListParagraph"/>
        <w:numPr>
          <w:ilvl w:val="0"/>
          <w:numId w:val="12"/>
        </w:numPr>
        <w:rPr>
          <w:rFonts w:ascii="Arial Narrow" w:hAnsi="Arial Narrow"/>
          <w:bCs/>
          <w:lang w:val="en-GB"/>
        </w:rPr>
      </w:pPr>
      <w:r w:rsidRPr="00D02B91">
        <w:rPr>
          <w:rFonts w:ascii="Arial Narrow" w:hAnsi="Arial Narrow"/>
          <w:bCs/>
          <w:lang w:val="en-GB"/>
        </w:rPr>
        <w:t>Imports and tariffs (tariff suspensions, tariff quotas)</w:t>
      </w:r>
    </w:p>
    <w:p w14:paraId="0273A7D3" w14:textId="32865D28" w:rsidR="003B242F" w:rsidRPr="00D02B91" w:rsidRDefault="003B242F" w:rsidP="003B242F">
      <w:pPr>
        <w:pStyle w:val="ListParagraph"/>
        <w:numPr>
          <w:ilvl w:val="0"/>
          <w:numId w:val="12"/>
        </w:numPr>
        <w:rPr>
          <w:rFonts w:ascii="Arial Narrow" w:hAnsi="Arial Narrow"/>
          <w:bCs/>
          <w:lang w:val="en-GB"/>
        </w:rPr>
      </w:pPr>
      <w:r w:rsidRPr="00D02B91">
        <w:rPr>
          <w:rFonts w:ascii="Arial Narrow" w:hAnsi="Arial Narrow"/>
          <w:bCs/>
          <w:lang w:val="en-GB"/>
        </w:rPr>
        <w:t>Price developments “from sea to table”</w:t>
      </w:r>
    </w:p>
    <w:p w14:paraId="67B0A219" w14:textId="25CCEF10" w:rsidR="003B242F" w:rsidRPr="00D02B91" w:rsidRDefault="00443DDB" w:rsidP="003B242F">
      <w:pPr>
        <w:pStyle w:val="ListParagraph"/>
        <w:numPr>
          <w:ilvl w:val="0"/>
          <w:numId w:val="12"/>
        </w:numPr>
        <w:rPr>
          <w:rFonts w:ascii="Arial Narrow" w:hAnsi="Arial Narrow"/>
          <w:bCs/>
          <w:lang w:val="en-GB"/>
        </w:rPr>
      </w:pPr>
      <w:r w:rsidRPr="00D02B91">
        <w:rPr>
          <w:rFonts w:ascii="Arial Narrow" w:hAnsi="Arial Narrow"/>
          <w:bCs/>
          <w:lang w:val="en-GB"/>
        </w:rPr>
        <w:t>R</w:t>
      </w:r>
      <w:r w:rsidR="003B242F" w:rsidRPr="00D02B91">
        <w:rPr>
          <w:rFonts w:ascii="Arial Narrow" w:hAnsi="Arial Narrow"/>
          <w:bCs/>
          <w:lang w:val="en-GB"/>
        </w:rPr>
        <w:t>esponsible sourcing and processing</w:t>
      </w:r>
    </w:p>
    <w:p w14:paraId="66BAD114" w14:textId="30C00C7B" w:rsidR="003B242F" w:rsidRPr="00D02B91" w:rsidRDefault="00436C7D" w:rsidP="003B242F">
      <w:pPr>
        <w:pStyle w:val="ListParagraph"/>
        <w:numPr>
          <w:ilvl w:val="0"/>
          <w:numId w:val="12"/>
        </w:numPr>
        <w:rPr>
          <w:rFonts w:ascii="Arial Narrow" w:hAnsi="Arial Narrow"/>
          <w:bCs/>
          <w:lang w:val="en-GB"/>
        </w:rPr>
      </w:pPr>
      <w:r w:rsidRPr="00D02B91">
        <w:rPr>
          <w:rFonts w:ascii="Arial Narrow" w:hAnsi="Arial Narrow"/>
          <w:bCs/>
          <w:lang w:val="en-GB"/>
        </w:rPr>
        <w:t xml:space="preserve">Banning IUU </w:t>
      </w:r>
      <w:r w:rsidR="009D5A15" w:rsidRPr="00D02B91">
        <w:rPr>
          <w:rFonts w:ascii="Arial Narrow" w:hAnsi="Arial Narrow"/>
          <w:bCs/>
          <w:lang w:val="en-GB"/>
        </w:rPr>
        <w:t>fish</w:t>
      </w:r>
      <w:r w:rsidR="00C42A3F" w:rsidRPr="00D02B91">
        <w:rPr>
          <w:rFonts w:ascii="Arial Narrow" w:hAnsi="Arial Narrow"/>
          <w:bCs/>
          <w:lang w:val="en-GB"/>
        </w:rPr>
        <w:t>ery</w:t>
      </w:r>
      <w:r w:rsidR="009D5A15" w:rsidRPr="00D02B91">
        <w:rPr>
          <w:rFonts w:ascii="Arial Narrow" w:hAnsi="Arial Narrow"/>
          <w:bCs/>
          <w:lang w:val="en-GB"/>
        </w:rPr>
        <w:t xml:space="preserve"> products</w:t>
      </w:r>
      <w:r w:rsidR="00A50673" w:rsidRPr="00D02B91">
        <w:rPr>
          <w:rFonts w:ascii="Arial Narrow" w:hAnsi="Arial Narrow"/>
          <w:bCs/>
          <w:lang w:val="en-GB"/>
        </w:rPr>
        <w:t xml:space="preserve"> </w:t>
      </w:r>
      <w:r w:rsidRPr="00D02B91">
        <w:rPr>
          <w:rFonts w:ascii="Arial Narrow" w:hAnsi="Arial Narrow"/>
          <w:bCs/>
          <w:lang w:val="en-GB"/>
        </w:rPr>
        <w:t>from entering the EU market</w:t>
      </w:r>
      <w:r w:rsidR="00F642CD" w:rsidRPr="00D02B91">
        <w:rPr>
          <w:rFonts w:ascii="Arial Narrow" w:hAnsi="Arial Narrow"/>
          <w:bCs/>
          <w:lang w:val="en-GB"/>
        </w:rPr>
        <w:t>,</w:t>
      </w:r>
      <w:r w:rsidR="000E7621" w:rsidRPr="00D02B91">
        <w:rPr>
          <w:rFonts w:ascii="Arial Narrow" w:hAnsi="Arial Narrow"/>
          <w:bCs/>
          <w:lang w:val="en-GB"/>
        </w:rPr>
        <w:t xml:space="preserve"> fight </w:t>
      </w:r>
      <w:r w:rsidR="00A50673" w:rsidRPr="00D02B91">
        <w:rPr>
          <w:rFonts w:ascii="Arial Narrow" w:hAnsi="Arial Narrow"/>
          <w:bCs/>
          <w:lang w:val="en-GB"/>
        </w:rPr>
        <w:t>against forced labou</w:t>
      </w:r>
      <w:r w:rsidR="00F642CD" w:rsidRPr="00D02B91">
        <w:rPr>
          <w:rFonts w:ascii="Arial Narrow" w:hAnsi="Arial Narrow"/>
          <w:bCs/>
          <w:lang w:val="en-GB"/>
        </w:rPr>
        <w:t>r,</w:t>
      </w:r>
      <w:r w:rsidR="00391E6B" w:rsidRPr="00D02B91">
        <w:rPr>
          <w:rFonts w:ascii="Arial Narrow" w:hAnsi="Arial Narrow"/>
          <w:bCs/>
          <w:lang w:val="en-GB"/>
        </w:rPr>
        <w:t xml:space="preserve"> due diligence</w:t>
      </w:r>
    </w:p>
    <w:p w14:paraId="0D8E4A05" w14:textId="4AE9A900" w:rsidR="009D5A15" w:rsidRPr="00D02B91" w:rsidRDefault="009D5A15" w:rsidP="003B242F">
      <w:pPr>
        <w:pStyle w:val="ListParagraph"/>
        <w:numPr>
          <w:ilvl w:val="0"/>
          <w:numId w:val="12"/>
        </w:numPr>
        <w:rPr>
          <w:rFonts w:ascii="Arial Narrow" w:hAnsi="Arial Narrow"/>
          <w:bCs/>
          <w:lang w:val="en-GB"/>
        </w:rPr>
      </w:pPr>
      <w:r w:rsidRPr="00D02B91">
        <w:rPr>
          <w:rFonts w:ascii="Arial Narrow" w:hAnsi="Arial Narrow"/>
          <w:bCs/>
          <w:lang w:val="en-GB"/>
        </w:rPr>
        <w:t xml:space="preserve">Implication of </w:t>
      </w:r>
      <w:r w:rsidR="00C42A3F" w:rsidRPr="00D02B91">
        <w:rPr>
          <w:rFonts w:ascii="Arial Narrow" w:hAnsi="Arial Narrow"/>
          <w:bCs/>
          <w:lang w:val="en-GB"/>
        </w:rPr>
        <w:t>F</w:t>
      </w:r>
      <w:r w:rsidRPr="00D02B91">
        <w:rPr>
          <w:rFonts w:ascii="Arial Narrow" w:hAnsi="Arial Narrow"/>
          <w:bCs/>
          <w:lang w:val="en-GB"/>
        </w:rPr>
        <w:t xml:space="preserve">isheries </w:t>
      </w:r>
      <w:r w:rsidR="00C42A3F" w:rsidRPr="00D02B91">
        <w:rPr>
          <w:rFonts w:ascii="Arial Narrow" w:hAnsi="Arial Narrow"/>
          <w:bCs/>
          <w:lang w:val="en-GB"/>
        </w:rPr>
        <w:t>C</w:t>
      </w:r>
      <w:r w:rsidRPr="00D02B91">
        <w:rPr>
          <w:rFonts w:ascii="Arial Narrow" w:hAnsi="Arial Narrow"/>
          <w:bCs/>
          <w:lang w:val="en-GB"/>
        </w:rPr>
        <w:t xml:space="preserve">ontrol </w:t>
      </w:r>
      <w:r w:rsidR="00C42A3F" w:rsidRPr="00D02B91">
        <w:rPr>
          <w:rFonts w:ascii="Arial Narrow" w:hAnsi="Arial Narrow"/>
          <w:bCs/>
          <w:lang w:val="en-GB"/>
        </w:rPr>
        <w:t>Regulati</w:t>
      </w:r>
      <w:r w:rsidRPr="00D02B91">
        <w:rPr>
          <w:rFonts w:ascii="Arial Narrow" w:hAnsi="Arial Narrow"/>
          <w:bCs/>
          <w:lang w:val="en-GB"/>
        </w:rPr>
        <w:t>on EU market (traceability</w:t>
      </w:r>
      <w:r w:rsidR="00833D90" w:rsidRPr="00D02B91">
        <w:rPr>
          <w:rFonts w:ascii="Arial Narrow" w:hAnsi="Arial Narrow"/>
          <w:bCs/>
          <w:lang w:val="en-GB"/>
        </w:rPr>
        <w:t xml:space="preserve"> </w:t>
      </w:r>
      <w:r w:rsidR="00C42A3F" w:rsidRPr="00D02B91">
        <w:rPr>
          <w:rFonts w:ascii="Arial Narrow" w:hAnsi="Arial Narrow"/>
          <w:bCs/>
          <w:lang w:val="en-GB"/>
        </w:rPr>
        <w:t>along the supply chain</w:t>
      </w:r>
      <w:r w:rsidRPr="00D02B91">
        <w:rPr>
          <w:rFonts w:ascii="Arial Narrow" w:hAnsi="Arial Narrow"/>
          <w:bCs/>
          <w:lang w:val="en-GB"/>
        </w:rPr>
        <w:t>)</w:t>
      </w:r>
    </w:p>
    <w:p w14:paraId="574283F8" w14:textId="6C194F15" w:rsidR="001D0186" w:rsidRPr="00D02B91" w:rsidRDefault="009D5A15" w:rsidP="005D3E78">
      <w:pPr>
        <w:pStyle w:val="ListParagraph"/>
        <w:numPr>
          <w:ilvl w:val="0"/>
          <w:numId w:val="12"/>
        </w:numPr>
        <w:rPr>
          <w:rFonts w:ascii="Arial Narrow" w:hAnsi="Arial Narrow"/>
          <w:bCs/>
          <w:lang w:val="en-GB"/>
        </w:rPr>
      </w:pPr>
      <w:r w:rsidRPr="00D02B91">
        <w:rPr>
          <w:rFonts w:ascii="Arial Narrow" w:hAnsi="Arial Narrow"/>
          <w:bCs/>
          <w:lang w:val="en-GB"/>
        </w:rPr>
        <w:t xml:space="preserve">Economic performance of the EU fish </w:t>
      </w:r>
      <w:r w:rsidR="000E7621" w:rsidRPr="00D02B91">
        <w:rPr>
          <w:rFonts w:ascii="Arial Narrow" w:hAnsi="Arial Narrow"/>
          <w:bCs/>
          <w:lang w:val="en-GB"/>
        </w:rPr>
        <w:t xml:space="preserve">&amp; seafood </w:t>
      </w:r>
      <w:r w:rsidRPr="00D02B91">
        <w:rPr>
          <w:rFonts w:ascii="Arial Narrow" w:hAnsi="Arial Narrow"/>
          <w:bCs/>
          <w:lang w:val="en-GB"/>
        </w:rPr>
        <w:t>processing sector (collaboration with STECF)</w:t>
      </w:r>
    </w:p>
    <w:p w14:paraId="333026CB" w14:textId="5798FB02" w:rsidR="00763D96" w:rsidRPr="00D02B91" w:rsidRDefault="002D3BB2" w:rsidP="00672850">
      <w:pPr>
        <w:jc w:val="both"/>
        <w:rPr>
          <w:rFonts w:ascii="Arial Narrow" w:hAnsi="Arial Narrow"/>
          <w:bCs/>
          <w:sz w:val="22"/>
          <w:szCs w:val="22"/>
        </w:rPr>
      </w:pPr>
      <w:r w:rsidRPr="00D02B91">
        <w:rPr>
          <w:rFonts w:ascii="Arial Narrow" w:hAnsi="Arial Narrow"/>
          <w:bCs/>
          <w:sz w:val="22"/>
          <w:szCs w:val="22"/>
        </w:rPr>
        <w:t>Working Group 3</w:t>
      </w:r>
      <w:r w:rsidR="00EF0C51" w:rsidRPr="00D02B91">
        <w:rPr>
          <w:rFonts w:ascii="Arial Narrow" w:hAnsi="Arial Narrow"/>
          <w:bCs/>
          <w:sz w:val="22"/>
          <w:szCs w:val="22"/>
        </w:rPr>
        <w:t xml:space="preserve"> (EU Controls and Sanitary Issues, Consumer Rules): </w:t>
      </w:r>
    </w:p>
    <w:p w14:paraId="2BE12DB0" w14:textId="184520DA" w:rsidR="00206300" w:rsidRPr="00D02B91" w:rsidRDefault="00206300" w:rsidP="00672850">
      <w:pPr>
        <w:jc w:val="both"/>
        <w:rPr>
          <w:rFonts w:ascii="Arial Narrow" w:hAnsi="Arial Narrow"/>
          <w:sz w:val="22"/>
          <w:szCs w:val="22"/>
        </w:rPr>
      </w:pPr>
    </w:p>
    <w:p w14:paraId="6CACFEE8" w14:textId="065A974F" w:rsidR="009D5A15" w:rsidRPr="00D02B91" w:rsidRDefault="009D5A15" w:rsidP="004A6CF7">
      <w:pPr>
        <w:pStyle w:val="ListParagraph"/>
        <w:numPr>
          <w:ilvl w:val="0"/>
          <w:numId w:val="12"/>
        </w:numPr>
        <w:jc w:val="both"/>
        <w:rPr>
          <w:rFonts w:ascii="Arial Narrow" w:hAnsi="Arial Narrow"/>
          <w:lang w:val="en-GB"/>
        </w:rPr>
      </w:pPr>
      <w:r w:rsidRPr="00D02B91">
        <w:rPr>
          <w:rFonts w:ascii="Arial Narrow" w:hAnsi="Arial Narrow"/>
          <w:lang w:val="en-GB"/>
        </w:rPr>
        <w:t xml:space="preserve">Consumer information </w:t>
      </w:r>
      <w:r w:rsidR="004A6CF7" w:rsidRPr="00D02B91">
        <w:rPr>
          <w:rFonts w:ascii="Arial Narrow" w:hAnsi="Arial Narrow"/>
          <w:lang w:val="en-GB"/>
        </w:rPr>
        <w:t>and labelling (FIC and CMO</w:t>
      </w:r>
      <w:r w:rsidR="005D3E78" w:rsidRPr="00D02B91">
        <w:rPr>
          <w:rFonts w:ascii="Arial Narrow" w:hAnsi="Arial Narrow"/>
          <w:lang w:val="en-GB"/>
        </w:rPr>
        <w:t xml:space="preserve"> Regulations</w:t>
      </w:r>
      <w:r w:rsidR="004A6CF7" w:rsidRPr="00D02B91">
        <w:rPr>
          <w:rFonts w:ascii="Arial Narrow" w:hAnsi="Arial Narrow"/>
          <w:lang w:val="en-GB"/>
        </w:rPr>
        <w:t xml:space="preserve">) </w:t>
      </w:r>
      <w:r w:rsidRPr="00D02B91">
        <w:rPr>
          <w:rFonts w:ascii="Arial Narrow" w:hAnsi="Arial Narrow"/>
          <w:lang w:val="en-GB"/>
        </w:rPr>
        <w:t xml:space="preserve"> </w:t>
      </w:r>
    </w:p>
    <w:p w14:paraId="7C7C1AE9" w14:textId="2949542F" w:rsidR="009D5A15" w:rsidRPr="00D02B91" w:rsidRDefault="009D5A15" w:rsidP="009D5A15">
      <w:pPr>
        <w:pStyle w:val="ListParagraph"/>
        <w:numPr>
          <w:ilvl w:val="0"/>
          <w:numId w:val="12"/>
        </w:numPr>
        <w:jc w:val="both"/>
        <w:rPr>
          <w:rFonts w:ascii="Arial Narrow" w:hAnsi="Arial Narrow"/>
          <w:lang w:val="en-GB"/>
        </w:rPr>
      </w:pPr>
      <w:r w:rsidRPr="00D02B91">
        <w:rPr>
          <w:rFonts w:ascii="Arial Narrow" w:hAnsi="Arial Narrow"/>
          <w:lang w:val="en-GB"/>
        </w:rPr>
        <w:t>Voluntary information</w:t>
      </w:r>
      <w:r w:rsidR="004A6CF7" w:rsidRPr="00D02B91">
        <w:rPr>
          <w:rFonts w:ascii="Arial Narrow" w:hAnsi="Arial Narrow"/>
          <w:lang w:val="en-GB"/>
        </w:rPr>
        <w:t>, including certification schemes</w:t>
      </w:r>
    </w:p>
    <w:p w14:paraId="19FEE28D" w14:textId="15EE4F80" w:rsidR="004A6CF7" w:rsidRPr="00D02B91" w:rsidRDefault="004A6CF7" w:rsidP="009D5A15">
      <w:pPr>
        <w:pStyle w:val="ListParagraph"/>
        <w:numPr>
          <w:ilvl w:val="0"/>
          <w:numId w:val="12"/>
        </w:numPr>
        <w:jc w:val="both"/>
        <w:rPr>
          <w:rFonts w:ascii="Arial Narrow" w:hAnsi="Arial Narrow"/>
          <w:lang w:val="en-GB"/>
        </w:rPr>
      </w:pPr>
      <w:r w:rsidRPr="00D02B91">
        <w:rPr>
          <w:rFonts w:ascii="Arial Narrow" w:hAnsi="Arial Narrow"/>
          <w:lang w:val="en-GB"/>
        </w:rPr>
        <w:t>Hygiene and sanitary issues</w:t>
      </w:r>
      <w:r w:rsidR="00443DDB" w:rsidRPr="00D02B91">
        <w:rPr>
          <w:rFonts w:ascii="Arial Narrow" w:hAnsi="Arial Narrow"/>
          <w:lang w:val="en-GB"/>
        </w:rPr>
        <w:t>, including contaminants, additives, and residues issues</w:t>
      </w:r>
    </w:p>
    <w:p w14:paraId="4484D06F" w14:textId="0B350F1D" w:rsidR="00DA71FB" w:rsidRPr="00D02B91" w:rsidRDefault="004A6CF7" w:rsidP="002D3BB2">
      <w:pPr>
        <w:pStyle w:val="ListParagraph"/>
        <w:numPr>
          <w:ilvl w:val="0"/>
          <w:numId w:val="12"/>
        </w:numPr>
        <w:jc w:val="both"/>
        <w:rPr>
          <w:rFonts w:ascii="Arial Narrow" w:hAnsi="Arial Narrow"/>
          <w:lang w:val="en-GB"/>
        </w:rPr>
      </w:pPr>
      <w:r w:rsidRPr="00D02B91">
        <w:rPr>
          <w:rFonts w:ascii="Arial Narrow" w:hAnsi="Arial Narrow"/>
          <w:lang w:val="en-GB"/>
        </w:rPr>
        <w:t xml:space="preserve">Plastic </w:t>
      </w:r>
      <w:r w:rsidR="00833D90" w:rsidRPr="00D02B91">
        <w:rPr>
          <w:rFonts w:ascii="Arial Narrow" w:hAnsi="Arial Narrow"/>
          <w:lang w:val="en-GB"/>
        </w:rPr>
        <w:t xml:space="preserve">and marine </w:t>
      </w:r>
      <w:r w:rsidRPr="00D02B91">
        <w:rPr>
          <w:rFonts w:ascii="Arial Narrow" w:hAnsi="Arial Narrow"/>
          <w:lang w:val="en-GB"/>
        </w:rPr>
        <w:t>pollution</w:t>
      </w:r>
    </w:p>
    <w:p w14:paraId="5C4047AB" w14:textId="2EA0D53E" w:rsidR="00A94A1B" w:rsidRPr="00D02B91" w:rsidRDefault="00443DDB" w:rsidP="002D3BB2">
      <w:pPr>
        <w:pStyle w:val="ListParagraph"/>
        <w:numPr>
          <w:ilvl w:val="0"/>
          <w:numId w:val="12"/>
        </w:numPr>
        <w:jc w:val="both"/>
        <w:rPr>
          <w:rFonts w:ascii="Arial Narrow" w:hAnsi="Arial Narrow"/>
          <w:lang w:val="en-GB"/>
        </w:rPr>
      </w:pPr>
      <w:r w:rsidRPr="00D02B91">
        <w:rPr>
          <w:rFonts w:ascii="Arial Narrow" w:hAnsi="Arial Narrow"/>
          <w:lang w:val="en-GB"/>
        </w:rPr>
        <w:t>Food fraud</w:t>
      </w:r>
    </w:p>
    <w:p w14:paraId="5847D1BD" w14:textId="41AB1057" w:rsidR="002D3BB2" w:rsidRPr="00D02B91" w:rsidRDefault="002D3BB2" w:rsidP="00672850">
      <w:pPr>
        <w:jc w:val="both"/>
        <w:rPr>
          <w:rFonts w:ascii="Arial Narrow" w:hAnsi="Arial Narrow"/>
          <w:b/>
          <w:sz w:val="22"/>
          <w:szCs w:val="22"/>
          <w:u w:val="single"/>
        </w:rPr>
      </w:pPr>
      <w:r w:rsidRPr="00D02B91">
        <w:rPr>
          <w:rFonts w:ascii="Arial Narrow" w:hAnsi="Arial Narrow"/>
          <w:b/>
          <w:sz w:val="22"/>
          <w:szCs w:val="22"/>
          <w:u w:val="single"/>
        </w:rPr>
        <w:t xml:space="preserve">Other </w:t>
      </w:r>
      <w:r w:rsidR="00423CDE" w:rsidRPr="00D02B91">
        <w:rPr>
          <w:rFonts w:ascii="Arial Narrow" w:hAnsi="Arial Narrow"/>
          <w:b/>
          <w:sz w:val="22"/>
          <w:szCs w:val="22"/>
          <w:u w:val="single"/>
        </w:rPr>
        <w:t xml:space="preserve">possible </w:t>
      </w:r>
      <w:r w:rsidRPr="00D02B91">
        <w:rPr>
          <w:rFonts w:ascii="Arial Narrow" w:hAnsi="Arial Narrow"/>
          <w:b/>
          <w:sz w:val="22"/>
          <w:szCs w:val="22"/>
          <w:u w:val="single"/>
        </w:rPr>
        <w:t>issues of interest</w:t>
      </w:r>
      <w:r w:rsidR="00BD6525" w:rsidRPr="00D02B91">
        <w:rPr>
          <w:rFonts w:ascii="Arial Narrow" w:hAnsi="Arial Narrow"/>
          <w:b/>
          <w:sz w:val="22"/>
          <w:szCs w:val="22"/>
          <w:u w:val="single"/>
        </w:rPr>
        <w:t>:</w:t>
      </w:r>
    </w:p>
    <w:p w14:paraId="5388BC91" w14:textId="51DB5EEB" w:rsidR="00B076BE" w:rsidRPr="00D02B91" w:rsidRDefault="00B076BE" w:rsidP="00060331">
      <w:pPr>
        <w:jc w:val="both"/>
        <w:rPr>
          <w:rFonts w:ascii="Arial Narrow" w:hAnsi="Arial Narrow"/>
          <w:bCs/>
          <w:sz w:val="22"/>
          <w:szCs w:val="22"/>
        </w:rPr>
      </w:pPr>
    </w:p>
    <w:p w14:paraId="1E716865" w14:textId="4531F364" w:rsidR="005D3E78" w:rsidRPr="00D02B91" w:rsidRDefault="005D3E78" w:rsidP="00DA71FB">
      <w:pPr>
        <w:pStyle w:val="ListParagraph"/>
        <w:numPr>
          <w:ilvl w:val="0"/>
          <w:numId w:val="12"/>
        </w:numPr>
        <w:jc w:val="both"/>
        <w:rPr>
          <w:rFonts w:ascii="Arial Narrow" w:hAnsi="Arial Narrow"/>
          <w:bCs/>
          <w:lang w:val="en-GB"/>
        </w:rPr>
      </w:pPr>
      <w:r w:rsidRPr="00D02B91">
        <w:rPr>
          <w:rFonts w:ascii="Arial Narrow" w:hAnsi="Arial Narrow"/>
          <w:bCs/>
          <w:lang w:val="en-GB"/>
        </w:rPr>
        <w:t>European Oceans Pact</w:t>
      </w:r>
    </w:p>
    <w:p w14:paraId="0CC7FBAC" w14:textId="1CA5CF22" w:rsidR="005D3E78" w:rsidRPr="00D02B91" w:rsidRDefault="005D3E78" w:rsidP="005D3E78">
      <w:pPr>
        <w:pStyle w:val="ListParagraph"/>
        <w:numPr>
          <w:ilvl w:val="0"/>
          <w:numId w:val="12"/>
        </w:numPr>
        <w:rPr>
          <w:rFonts w:ascii="Arial Narrow" w:hAnsi="Arial Narrow"/>
          <w:bCs/>
          <w:lang w:val="en-GB"/>
        </w:rPr>
      </w:pPr>
      <w:r w:rsidRPr="00D02B91">
        <w:rPr>
          <w:rFonts w:ascii="Arial Narrow" w:hAnsi="Arial Narrow"/>
          <w:bCs/>
          <w:lang w:val="en-GB"/>
        </w:rPr>
        <w:t>Competitiveness (simplification and reduction of administrative burden)</w:t>
      </w:r>
    </w:p>
    <w:p w14:paraId="4F6A81EC" w14:textId="25B6F64A" w:rsidR="005D3E78" w:rsidRPr="00D02B91" w:rsidRDefault="006369AE" w:rsidP="00DA71FB">
      <w:pPr>
        <w:pStyle w:val="ListParagraph"/>
        <w:numPr>
          <w:ilvl w:val="0"/>
          <w:numId w:val="12"/>
        </w:numPr>
        <w:jc w:val="both"/>
        <w:rPr>
          <w:rFonts w:ascii="Arial Narrow" w:hAnsi="Arial Narrow"/>
          <w:bCs/>
          <w:lang w:val="en-GB"/>
        </w:rPr>
      </w:pPr>
      <w:r w:rsidRPr="00D02B91">
        <w:rPr>
          <w:rFonts w:ascii="Arial Narrow" w:hAnsi="Arial Narrow"/>
          <w:bCs/>
          <w:lang w:val="en-GB"/>
        </w:rPr>
        <w:t xml:space="preserve">2040 Vision for Fisheries and Aquaculture </w:t>
      </w:r>
    </w:p>
    <w:p w14:paraId="353C8061" w14:textId="0ADF054D" w:rsidR="006369AE" w:rsidRPr="00D02B91" w:rsidRDefault="006369AE" w:rsidP="00DA71FB">
      <w:pPr>
        <w:pStyle w:val="ListParagraph"/>
        <w:numPr>
          <w:ilvl w:val="0"/>
          <w:numId w:val="12"/>
        </w:numPr>
        <w:jc w:val="both"/>
        <w:rPr>
          <w:rFonts w:ascii="Arial Narrow" w:hAnsi="Arial Narrow"/>
          <w:bCs/>
          <w:lang w:val="en-GB"/>
        </w:rPr>
      </w:pPr>
      <w:r w:rsidRPr="00D02B91">
        <w:rPr>
          <w:rFonts w:ascii="Arial Narrow" w:hAnsi="Arial Narrow"/>
          <w:bCs/>
          <w:lang w:val="en-GB"/>
        </w:rPr>
        <w:t xml:space="preserve">Strategy for External EU Fisheries Action </w:t>
      </w:r>
    </w:p>
    <w:p w14:paraId="41CCC9D4" w14:textId="5E069AAA" w:rsidR="00443DDB" w:rsidRPr="00D02B91" w:rsidRDefault="00443DDB" w:rsidP="00DA71FB">
      <w:pPr>
        <w:pStyle w:val="ListParagraph"/>
        <w:numPr>
          <w:ilvl w:val="0"/>
          <w:numId w:val="12"/>
        </w:numPr>
        <w:jc w:val="both"/>
        <w:rPr>
          <w:rFonts w:ascii="Arial Narrow" w:hAnsi="Arial Narrow"/>
          <w:bCs/>
          <w:lang w:val="en-GB"/>
        </w:rPr>
      </w:pPr>
      <w:r w:rsidRPr="00D02B91">
        <w:rPr>
          <w:rFonts w:ascii="Arial Narrow" w:hAnsi="Arial Narrow"/>
          <w:bCs/>
          <w:lang w:val="en-GB"/>
        </w:rPr>
        <w:t xml:space="preserve">Multiannual Financial Framework </w:t>
      </w:r>
    </w:p>
    <w:p w14:paraId="73E24C6B" w14:textId="77777777" w:rsidR="006369AE" w:rsidRPr="00D02B91" w:rsidRDefault="006369AE" w:rsidP="006369AE">
      <w:pPr>
        <w:pStyle w:val="ListParagraph"/>
        <w:numPr>
          <w:ilvl w:val="0"/>
          <w:numId w:val="12"/>
        </w:numPr>
        <w:jc w:val="both"/>
        <w:rPr>
          <w:rFonts w:ascii="Arial Narrow" w:hAnsi="Arial Narrow"/>
          <w:bCs/>
          <w:lang w:val="en-GB"/>
        </w:rPr>
      </w:pPr>
      <w:r w:rsidRPr="00D02B91">
        <w:rPr>
          <w:rFonts w:ascii="Arial Narrow" w:hAnsi="Arial Narrow"/>
          <w:bCs/>
          <w:lang w:val="en-GB"/>
        </w:rPr>
        <w:t>Energy transition of the EU's fisheries and aquaculture sector</w:t>
      </w:r>
    </w:p>
    <w:p w14:paraId="4E514E18" w14:textId="2928D85D" w:rsidR="000C0F9A" w:rsidRPr="00D02B91" w:rsidRDefault="002D3BB2">
      <w:pPr>
        <w:jc w:val="both"/>
        <w:rPr>
          <w:rFonts w:ascii="Arial Narrow" w:hAnsi="Arial Narrow"/>
          <w:b/>
          <w:sz w:val="22"/>
        </w:rPr>
      </w:pPr>
      <w:bookmarkStart w:id="0" w:name="_Hlk137741538"/>
      <w:r w:rsidRPr="00D02B91">
        <w:rPr>
          <w:rFonts w:ascii="Arial Narrow" w:hAnsi="Arial Narrow"/>
          <w:b/>
          <w:bCs/>
          <w:sz w:val="22"/>
          <w:szCs w:val="22"/>
          <w:u w:val="single"/>
        </w:rPr>
        <w:t xml:space="preserve">Planned recommendations for year </w:t>
      </w:r>
      <w:r w:rsidR="006369AE" w:rsidRPr="00D02B91">
        <w:rPr>
          <w:rFonts w:ascii="Arial Narrow" w:hAnsi="Arial Narrow"/>
          <w:b/>
          <w:bCs/>
          <w:sz w:val="22"/>
          <w:szCs w:val="22"/>
          <w:u w:val="single"/>
        </w:rPr>
        <w:t>1</w:t>
      </w:r>
      <w:r w:rsidR="00443DDB" w:rsidRPr="00D02B91">
        <w:rPr>
          <w:rFonts w:ascii="Arial Narrow" w:hAnsi="Arial Narrow"/>
          <w:b/>
          <w:bCs/>
          <w:sz w:val="22"/>
          <w:szCs w:val="22"/>
          <w:u w:val="single"/>
        </w:rPr>
        <w:t>1</w:t>
      </w:r>
      <w:r w:rsidR="000C0F9A" w:rsidRPr="00D02B91">
        <w:rPr>
          <w:rFonts w:ascii="Arial Narrow" w:hAnsi="Arial Narrow"/>
          <w:b/>
          <w:bCs/>
          <w:sz w:val="22"/>
          <w:szCs w:val="22"/>
        </w:rPr>
        <w:t>:</w:t>
      </w:r>
    </w:p>
    <w:bookmarkEnd w:id="0"/>
    <w:p w14:paraId="202DD9DE" w14:textId="3A88344A" w:rsidR="000C0F9A" w:rsidRPr="00D02B91" w:rsidRDefault="000C0F9A" w:rsidP="000C0F9A">
      <w:pPr>
        <w:jc w:val="both"/>
        <w:rPr>
          <w:rFonts w:ascii="Arial Narrow" w:hAnsi="Arial Narrow"/>
          <w:b/>
          <w:sz w:val="22"/>
          <w:szCs w:val="22"/>
        </w:rPr>
      </w:pPr>
    </w:p>
    <w:tbl>
      <w:tblPr>
        <w:tblStyle w:val="TableGrid"/>
        <w:tblW w:w="0" w:type="auto"/>
        <w:tblLook w:val="04A0" w:firstRow="1" w:lastRow="0" w:firstColumn="1" w:lastColumn="0" w:noHBand="0" w:noVBand="1"/>
      </w:tblPr>
      <w:tblGrid>
        <w:gridCol w:w="988"/>
        <w:gridCol w:w="2835"/>
        <w:gridCol w:w="1376"/>
        <w:gridCol w:w="2028"/>
        <w:gridCol w:w="1835"/>
      </w:tblGrid>
      <w:tr w:rsidR="00BD6525" w:rsidRPr="00D02B91" w14:paraId="56426B6C" w14:textId="77777777" w:rsidTr="008D0953">
        <w:tc>
          <w:tcPr>
            <w:tcW w:w="988" w:type="dxa"/>
          </w:tcPr>
          <w:p w14:paraId="078AFC91" w14:textId="442EB3F3" w:rsidR="00BD6525" w:rsidRPr="00D02B91" w:rsidRDefault="00BD6525" w:rsidP="002A256A">
            <w:pPr>
              <w:jc w:val="both"/>
              <w:rPr>
                <w:rFonts w:ascii="Arial Narrow" w:hAnsi="Arial Narrow"/>
                <w:bCs/>
                <w:sz w:val="22"/>
                <w:szCs w:val="22"/>
              </w:rPr>
            </w:pPr>
            <w:r w:rsidRPr="00D02B91">
              <w:rPr>
                <w:rFonts w:ascii="Arial Narrow" w:hAnsi="Arial Narrow"/>
                <w:bCs/>
                <w:sz w:val="22"/>
                <w:szCs w:val="22"/>
              </w:rPr>
              <w:t>No</w:t>
            </w:r>
          </w:p>
        </w:tc>
        <w:tc>
          <w:tcPr>
            <w:tcW w:w="2835" w:type="dxa"/>
          </w:tcPr>
          <w:p w14:paraId="5FF2B78A" w14:textId="5E29E033" w:rsidR="00BD6525" w:rsidRPr="00D02B91" w:rsidRDefault="00BD6525" w:rsidP="002A256A">
            <w:pPr>
              <w:jc w:val="both"/>
              <w:rPr>
                <w:rFonts w:ascii="Arial Narrow" w:hAnsi="Arial Narrow"/>
                <w:bCs/>
                <w:sz w:val="22"/>
                <w:szCs w:val="22"/>
              </w:rPr>
            </w:pPr>
            <w:r w:rsidRPr="00D02B91">
              <w:rPr>
                <w:rFonts w:ascii="Arial Narrow" w:hAnsi="Arial Narrow"/>
                <w:bCs/>
                <w:sz w:val="22"/>
                <w:szCs w:val="22"/>
              </w:rPr>
              <w:t xml:space="preserve">Issue/subject </w:t>
            </w:r>
          </w:p>
        </w:tc>
        <w:tc>
          <w:tcPr>
            <w:tcW w:w="1376" w:type="dxa"/>
          </w:tcPr>
          <w:p w14:paraId="7D7823F0" w14:textId="77777777" w:rsidR="00BD6525" w:rsidRPr="00D02B91" w:rsidRDefault="00BD6525" w:rsidP="002A256A">
            <w:pPr>
              <w:jc w:val="both"/>
              <w:rPr>
                <w:rFonts w:ascii="Arial Narrow" w:hAnsi="Arial Narrow"/>
                <w:bCs/>
                <w:sz w:val="22"/>
                <w:szCs w:val="22"/>
              </w:rPr>
            </w:pPr>
            <w:r w:rsidRPr="00D02B91">
              <w:rPr>
                <w:rFonts w:ascii="Arial Narrow" w:hAnsi="Arial Narrow"/>
                <w:bCs/>
                <w:sz w:val="22"/>
                <w:szCs w:val="22"/>
              </w:rPr>
              <w:t>Link with the CFP</w:t>
            </w:r>
          </w:p>
        </w:tc>
        <w:tc>
          <w:tcPr>
            <w:tcW w:w="2028" w:type="dxa"/>
          </w:tcPr>
          <w:p w14:paraId="0507A33B" w14:textId="32824D11" w:rsidR="00BD6525" w:rsidRPr="00D02B91" w:rsidRDefault="00BD6525" w:rsidP="002A256A">
            <w:pPr>
              <w:jc w:val="both"/>
              <w:rPr>
                <w:rFonts w:ascii="Arial Narrow" w:hAnsi="Arial Narrow"/>
                <w:bCs/>
                <w:sz w:val="22"/>
                <w:szCs w:val="22"/>
              </w:rPr>
            </w:pPr>
            <w:r w:rsidRPr="00D02B91">
              <w:rPr>
                <w:rFonts w:ascii="Arial Narrow" w:hAnsi="Arial Narrow"/>
                <w:bCs/>
                <w:sz w:val="22"/>
                <w:szCs w:val="22"/>
              </w:rPr>
              <w:t>WG/FG at the origin of the recommendation</w:t>
            </w:r>
          </w:p>
        </w:tc>
        <w:tc>
          <w:tcPr>
            <w:tcW w:w="1835" w:type="dxa"/>
          </w:tcPr>
          <w:p w14:paraId="110DB76C" w14:textId="3606DD13" w:rsidR="00BD6525" w:rsidRPr="00D02B91" w:rsidRDefault="00BD6525" w:rsidP="002A256A">
            <w:pPr>
              <w:jc w:val="both"/>
              <w:rPr>
                <w:rFonts w:ascii="Arial Narrow" w:hAnsi="Arial Narrow"/>
                <w:bCs/>
                <w:sz w:val="22"/>
                <w:szCs w:val="22"/>
              </w:rPr>
            </w:pPr>
            <w:r w:rsidRPr="00D02B91">
              <w:rPr>
                <w:rFonts w:ascii="Arial Narrow" w:hAnsi="Arial Narrow"/>
                <w:bCs/>
                <w:sz w:val="22"/>
                <w:szCs w:val="22"/>
              </w:rPr>
              <w:t>Planned date of adoption (if available)</w:t>
            </w:r>
          </w:p>
        </w:tc>
      </w:tr>
      <w:tr w:rsidR="00D8057E" w:rsidRPr="00D02B91" w14:paraId="6DCC064A" w14:textId="77777777" w:rsidTr="008D0953">
        <w:tc>
          <w:tcPr>
            <w:tcW w:w="988" w:type="dxa"/>
          </w:tcPr>
          <w:p w14:paraId="1A98E5D3" w14:textId="471A3A86"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1</w:t>
            </w:r>
          </w:p>
        </w:tc>
        <w:tc>
          <w:tcPr>
            <w:tcW w:w="2835" w:type="dxa"/>
          </w:tcPr>
          <w:p w14:paraId="76B59422" w14:textId="54D0BDD5" w:rsidR="00D8057E" w:rsidRPr="00D02B91" w:rsidRDefault="00D8057E" w:rsidP="00D8057E">
            <w:pPr>
              <w:jc w:val="both"/>
              <w:rPr>
                <w:rFonts w:ascii="Arial Narrow" w:hAnsi="Arial Narrow"/>
                <w:bCs/>
                <w:sz w:val="22"/>
                <w:szCs w:val="22"/>
              </w:rPr>
            </w:pPr>
            <w:commentRangeStart w:id="1"/>
            <w:r w:rsidRPr="00D02B91">
              <w:rPr>
                <w:rFonts w:ascii="Arial Narrow" w:hAnsi="Arial Narrow"/>
                <w:bCs/>
                <w:sz w:val="22"/>
                <w:szCs w:val="22"/>
              </w:rPr>
              <w:t xml:space="preserve">EU Awareness Campaign on Aquatic Foods </w:t>
            </w:r>
            <w:commentRangeEnd w:id="1"/>
            <w:r w:rsidR="00B27688" w:rsidRPr="00D02B91">
              <w:rPr>
                <w:rStyle w:val="CommentReference"/>
                <w:rFonts w:ascii="Arial Narrow" w:hAnsi="Arial Narrow"/>
                <w:bCs/>
                <w:sz w:val="22"/>
                <w:szCs w:val="22"/>
              </w:rPr>
              <w:commentReference w:id="1"/>
            </w:r>
          </w:p>
        </w:tc>
        <w:tc>
          <w:tcPr>
            <w:tcW w:w="1376" w:type="dxa"/>
          </w:tcPr>
          <w:p w14:paraId="2F00DD4E" w14:textId="4E548212"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2.5.g)</w:t>
            </w:r>
          </w:p>
        </w:tc>
        <w:tc>
          <w:tcPr>
            <w:tcW w:w="2028" w:type="dxa"/>
          </w:tcPr>
          <w:p w14:paraId="4F36C40A" w14:textId="22414741"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WG3</w:t>
            </w:r>
          </w:p>
        </w:tc>
        <w:tc>
          <w:tcPr>
            <w:tcW w:w="1835" w:type="dxa"/>
          </w:tcPr>
          <w:p w14:paraId="030B9126" w14:textId="6CBD357E"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November 2026</w:t>
            </w:r>
          </w:p>
        </w:tc>
      </w:tr>
      <w:tr w:rsidR="00D8057E" w:rsidRPr="00D02B91" w14:paraId="7DB7CBC1" w14:textId="77777777" w:rsidTr="008D0953">
        <w:tc>
          <w:tcPr>
            <w:tcW w:w="988" w:type="dxa"/>
          </w:tcPr>
          <w:p w14:paraId="7B61B45D" w14:textId="0DAA9F7C"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2</w:t>
            </w:r>
          </w:p>
        </w:tc>
        <w:tc>
          <w:tcPr>
            <w:tcW w:w="2835" w:type="dxa"/>
          </w:tcPr>
          <w:p w14:paraId="6E514C91" w14:textId="1AAF1DC2" w:rsidR="00D8057E" w:rsidRPr="00D02B91" w:rsidRDefault="00D8057E" w:rsidP="00D8057E">
            <w:pPr>
              <w:jc w:val="both"/>
              <w:rPr>
                <w:rFonts w:ascii="Arial Narrow" w:hAnsi="Arial Narrow"/>
                <w:bCs/>
                <w:sz w:val="22"/>
                <w:szCs w:val="22"/>
              </w:rPr>
            </w:pPr>
            <w:commentRangeStart w:id="2"/>
            <w:r w:rsidRPr="00D02B91">
              <w:rPr>
                <w:rFonts w:ascii="Arial Narrow" w:hAnsi="Arial Narrow"/>
                <w:bCs/>
                <w:sz w:val="22"/>
                <w:szCs w:val="22"/>
              </w:rPr>
              <w:t xml:space="preserve">Food safety (e.g., contaminants, additives, residues) </w:t>
            </w:r>
            <w:commentRangeEnd w:id="2"/>
            <w:r w:rsidR="00B27688" w:rsidRPr="00D02B91">
              <w:rPr>
                <w:rStyle w:val="CommentReference"/>
                <w:rFonts w:ascii="Arial Narrow" w:hAnsi="Arial Narrow"/>
                <w:bCs/>
                <w:sz w:val="22"/>
                <w:szCs w:val="22"/>
              </w:rPr>
              <w:commentReference w:id="2"/>
            </w:r>
          </w:p>
        </w:tc>
        <w:tc>
          <w:tcPr>
            <w:tcW w:w="1376" w:type="dxa"/>
          </w:tcPr>
          <w:p w14:paraId="3FF34F63" w14:textId="0EAADC77"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2.5.g)</w:t>
            </w:r>
          </w:p>
        </w:tc>
        <w:tc>
          <w:tcPr>
            <w:tcW w:w="2028" w:type="dxa"/>
          </w:tcPr>
          <w:p w14:paraId="7439546A" w14:textId="5ADEFF87"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WG3</w:t>
            </w:r>
          </w:p>
        </w:tc>
        <w:tc>
          <w:tcPr>
            <w:tcW w:w="1835" w:type="dxa"/>
          </w:tcPr>
          <w:p w14:paraId="56686356" w14:textId="23C83DFB" w:rsidR="00D8057E" w:rsidRPr="00D02B91" w:rsidRDefault="00D8057E" w:rsidP="00D8057E">
            <w:pPr>
              <w:jc w:val="both"/>
              <w:rPr>
                <w:rFonts w:ascii="Arial Narrow" w:hAnsi="Arial Narrow"/>
                <w:bCs/>
                <w:i/>
                <w:iCs/>
                <w:sz w:val="22"/>
                <w:szCs w:val="22"/>
              </w:rPr>
            </w:pPr>
            <w:r w:rsidRPr="00D02B91">
              <w:rPr>
                <w:rFonts w:ascii="Arial Narrow" w:hAnsi="Arial Narrow"/>
                <w:bCs/>
                <w:i/>
                <w:iCs/>
                <w:sz w:val="22"/>
                <w:szCs w:val="22"/>
              </w:rPr>
              <w:t>Ad hoc</w:t>
            </w:r>
          </w:p>
        </w:tc>
      </w:tr>
      <w:tr w:rsidR="00D8057E" w:rsidRPr="00D02B91" w14:paraId="4B9057D5" w14:textId="77777777" w:rsidTr="008D0953">
        <w:tc>
          <w:tcPr>
            <w:tcW w:w="988" w:type="dxa"/>
          </w:tcPr>
          <w:p w14:paraId="6E1AB921" w14:textId="294BB02B"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3</w:t>
            </w:r>
          </w:p>
        </w:tc>
        <w:tc>
          <w:tcPr>
            <w:tcW w:w="2835" w:type="dxa"/>
          </w:tcPr>
          <w:p w14:paraId="123D25EC" w14:textId="57B22D5F" w:rsidR="00D8057E" w:rsidRPr="00D02B91" w:rsidRDefault="00D8057E" w:rsidP="00D8057E">
            <w:pPr>
              <w:jc w:val="both"/>
              <w:rPr>
                <w:rFonts w:ascii="Arial Narrow" w:hAnsi="Arial Narrow"/>
                <w:bCs/>
                <w:sz w:val="22"/>
                <w:szCs w:val="22"/>
              </w:rPr>
            </w:pPr>
            <w:commentRangeStart w:id="3"/>
            <w:r w:rsidRPr="00D02B91">
              <w:rPr>
                <w:rFonts w:ascii="Arial Narrow" w:hAnsi="Arial Narrow"/>
                <w:bCs/>
                <w:sz w:val="22"/>
                <w:szCs w:val="22"/>
              </w:rPr>
              <w:t>Market-related aspects of the revised Fisheries Control Regulation (traceability, marking of lots, catch certificates)</w:t>
            </w:r>
            <w:commentRangeEnd w:id="3"/>
            <w:r w:rsidR="00B27688" w:rsidRPr="00D02B91">
              <w:rPr>
                <w:rStyle w:val="CommentReference"/>
                <w:rFonts w:ascii="Arial Narrow" w:hAnsi="Arial Narrow"/>
                <w:bCs/>
                <w:sz w:val="22"/>
                <w:szCs w:val="22"/>
              </w:rPr>
              <w:commentReference w:id="3"/>
            </w:r>
          </w:p>
        </w:tc>
        <w:tc>
          <w:tcPr>
            <w:tcW w:w="1376" w:type="dxa"/>
          </w:tcPr>
          <w:p w14:paraId="4EE476D2" w14:textId="698387DA"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2.5.g)</w:t>
            </w:r>
          </w:p>
        </w:tc>
        <w:tc>
          <w:tcPr>
            <w:tcW w:w="2028" w:type="dxa"/>
          </w:tcPr>
          <w:p w14:paraId="2DAF36F3" w14:textId="75FF9713"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WG2</w:t>
            </w:r>
          </w:p>
        </w:tc>
        <w:tc>
          <w:tcPr>
            <w:tcW w:w="1835" w:type="dxa"/>
          </w:tcPr>
          <w:p w14:paraId="35DBC7E4" w14:textId="54FE52E5"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November 2026</w:t>
            </w:r>
          </w:p>
        </w:tc>
      </w:tr>
      <w:tr w:rsidR="001F23E0" w:rsidRPr="00D02B91" w14:paraId="74A8945C" w14:textId="77777777" w:rsidTr="008D0953">
        <w:tc>
          <w:tcPr>
            <w:tcW w:w="988" w:type="dxa"/>
          </w:tcPr>
          <w:p w14:paraId="4E5207AC" w14:textId="06E97D57" w:rsidR="001F23E0" w:rsidRPr="00D02B91" w:rsidRDefault="001F23E0" w:rsidP="001F23E0">
            <w:pPr>
              <w:jc w:val="both"/>
              <w:rPr>
                <w:rFonts w:ascii="Arial Narrow" w:hAnsi="Arial Narrow"/>
                <w:bCs/>
                <w:sz w:val="22"/>
                <w:szCs w:val="22"/>
              </w:rPr>
            </w:pPr>
            <w:r w:rsidRPr="00D02B91">
              <w:rPr>
                <w:rFonts w:ascii="Arial Narrow" w:hAnsi="Arial Narrow"/>
                <w:bCs/>
                <w:sz w:val="22"/>
                <w:szCs w:val="22"/>
              </w:rPr>
              <w:t>4</w:t>
            </w:r>
          </w:p>
        </w:tc>
        <w:tc>
          <w:tcPr>
            <w:tcW w:w="2835" w:type="dxa"/>
          </w:tcPr>
          <w:p w14:paraId="3BFD2195" w14:textId="3FA7BF5A" w:rsidR="001F23E0" w:rsidRPr="00D02B91" w:rsidRDefault="001F23E0" w:rsidP="001F23E0">
            <w:pPr>
              <w:jc w:val="both"/>
              <w:rPr>
                <w:rFonts w:ascii="Arial Narrow" w:hAnsi="Arial Narrow"/>
                <w:bCs/>
                <w:sz w:val="22"/>
                <w:szCs w:val="22"/>
              </w:rPr>
            </w:pPr>
            <w:commentRangeStart w:id="4"/>
            <w:r w:rsidRPr="00D02B91">
              <w:rPr>
                <w:rFonts w:ascii="Arial Narrow" w:hAnsi="Arial Narrow"/>
                <w:bCs/>
                <w:sz w:val="22"/>
                <w:szCs w:val="22"/>
              </w:rPr>
              <w:t xml:space="preserve">Evaluation of the Common Fisheries Policy Regulation, including Common Market Organisation (follow-up actions) </w:t>
            </w:r>
            <w:commentRangeEnd w:id="4"/>
            <w:r w:rsidR="00B27688" w:rsidRPr="00D02B91">
              <w:rPr>
                <w:rStyle w:val="CommentReference"/>
                <w:rFonts w:ascii="Arial Narrow" w:hAnsi="Arial Narrow"/>
                <w:bCs/>
                <w:sz w:val="22"/>
                <w:szCs w:val="22"/>
              </w:rPr>
              <w:commentReference w:id="4"/>
            </w:r>
          </w:p>
        </w:tc>
        <w:tc>
          <w:tcPr>
            <w:tcW w:w="1376" w:type="dxa"/>
          </w:tcPr>
          <w:p w14:paraId="78FE31A2" w14:textId="21BA968F" w:rsidR="001F23E0" w:rsidRPr="00D02B91" w:rsidRDefault="001F23E0" w:rsidP="001F23E0">
            <w:pPr>
              <w:jc w:val="both"/>
              <w:rPr>
                <w:rFonts w:ascii="Arial Narrow" w:hAnsi="Arial Narrow"/>
                <w:bCs/>
                <w:sz w:val="22"/>
                <w:szCs w:val="22"/>
              </w:rPr>
            </w:pPr>
            <w:r w:rsidRPr="00D02B91">
              <w:rPr>
                <w:rFonts w:ascii="Arial Narrow" w:hAnsi="Arial Narrow"/>
                <w:bCs/>
                <w:sz w:val="22"/>
                <w:szCs w:val="22"/>
              </w:rPr>
              <w:t>Article 2.5.g)</w:t>
            </w:r>
          </w:p>
        </w:tc>
        <w:tc>
          <w:tcPr>
            <w:tcW w:w="2028" w:type="dxa"/>
          </w:tcPr>
          <w:p w14:paraId="4AC31241" w14:textId="0E2EAB91" w:rsidR="001F23E0" w:rsidRPr="00D02B91" w:rsidRDefault="001F23E0" w:rsidP="001F23E0">
            <w:pPr>
              <w:jc w:val="both"/>
              <w:rPr>
                <w:rFonts w:ascii="Arial Narrow" w:hAnsi="Arial Narrow"/>
                <w:bCs/>
                <w:sz w:val="22"/>
                <w:szCs w:val="22"/>
              </w:rPr>
            </w:pPr>
            <w:r w:rsidRPr="00D02B91">
              <w:rPr>
                <w:rFonts w:ascii="Arial Narrow" w:hAnsi="Arial Narrow"/>
                <w:bCs/>
                <w:sz w:val="22"/>
                <w:szCs w:val="22"/>
              </w:rPr>
              <w:t>WG1, WG2, WG3</w:t>
            </w:r>
          </w:p>
        </w:tc>
        <w:tc>
          <w:tcPr>
            <w:tcW w:w="1835" w:type="dxa"/>
          </w:tcPr>
          <w:p w14:paraId="38A031F0" w14:textId="7989A58C" w:rsidR="001F23E0" w:rsidRPr="00D02B91" w:rsidRDefault="001F23E0" w:rsidP="001F23E0">
            <w:pPr>
              <w:jc w:val="both"/>
              <w:rPr>
                <w:rFonts w:ascii="Arial Narrow" w:hAnsi="Arial Narrow"/>
                <w:bCs/>
                <w:sz w:val="22"/>
                <w:szCs w:val="22"/>
              </w:rPr>
            </w:pPr>
            <w:r w:rsidRPr="00D02B91">
              <w:rPr>
                <w:rFonts w:ascii="Arial Narrow" w:hAnsi="Arial Narrow"/>
                <w:bCs/>
                <w:sz w:val="22"/>
                <w:szCs w:val="22"/>
              </w:rPr>
              <w:t xml:space="preserve">January 2027 </w:t>
            </w:r>
          </w:p>
        </w:tc>
      </w:tr>
      <w:tr w:rsidR="00D8057E" w:rsidRPr="00D02B91" w14:paraId="69310A24" w14:textId="77777777" w:rsidTr="008D0953">
        <w:tc>
          <w:tcPr>
            <w:tcW w:w="988" w:type="dxa"/>
          </w:tcPr>
          <w:p w14:paraId="2D563B1B" w14:textId="4A797A81" w:rsidR="00D8057E" w:rsidRPr="00D02B91" w:rsidRDefault="001F23E0" w:rsidP="00D8057E">
            <w:pPr>
              <w:jc w:val="both"/>
              <w:rPr>
                <w:rFonts w:ascii="Arial Narrow" w:hAnsi="Arial Narrow"/>
                <w:bCs/>
                <w:sz w:val="22"/>
                <w:szCs w:val="22"/>
              </w:rPr>
            </w:pPr>
            <w:r w:rsidRPr="00D02B91">
              <w:rPr>
                <w:rFonts w:ascii="Arial Narrow" w:hAnsi="Arial Narrow"/>
                <w:bCs/>
                <w:sz w:val="22"/>
                <w:szCs w:val="22"/>
              </w:rPr>
              <w:lastRenderedPageBreak/>
              <w:t>5</w:t>
            </w:r>
          </w:p>
        </w:tc>
        <w:tc>
          <w:tcPr>
            <w:tcW w:w="2835" w:type="dxa"/>
          </w:tcPr>
          <w:p w14:paraId="60264EBA" w14:textId="0B7A88B2" w:rsidR="00D8057E" w:rsidRPr="00D02B91" w:rsidRDefault="00D8057E" w:rsidP="00D8057E">
            <w:pPr>
              <w:jc w:val="both"/>
              <w:rPr>
                <w:rFonts w:ascii="Arial Narrow" w:hAnsi="Arial Narrow"/>
                <w:bCs/>
                <w:sz w:val="22"/>
                <w:szCs w:val="22"/>
              </w:rPr>
            </w:pPr>
            <w:commentRangeStart w:id="5"/>
            <w:r w:rsidRPr="00D02B91">
              <w:rPr>
                <w:rFonts w:ascii="Arial Narrow" w:hAnsi="Arial Narrow"/>
                <w:bCs/>
                <w:sz w:val="22"/>
                <w:szCs w:val="22"/>
              </w:rPr>
              <w:t>Competitiveness – simplification and reduction of administrative burden</w:t>
            </w:r>
            <w:commentRangeEnd w:id="5"/>
            <w:r w:rsidR="00D02B91" w:rsidRPr="00D02B91">
              <w:rPr>
                <w:rStyle w:val="CommentReference"/>
                <w:rFonts w:ascii="Arial Narrow" w:hAnsi="Arial Narrow"/>
                <w:bCs/>
                <w:sz w:val="22"/>
                <w:szCs w:val="22"/>
              </w:rPr>
              <w:commentReference w:id="5"/>
            </w:r>
          </w:p>
        </w:tc>
        <w:tc>
          <w:tcPr>
            <w:tcW w:w="1376" w:type="dxa"/>
          </w:tcPr>
          <w:p w14:paraId="38A72BB2" w14:textId="76DAD6D3"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2.5.c)</w:t>
            </w:r>
          </w:p>
        </w:tc>
        <w:tc>
          <w:tcPr>
            <w:tcW w:w="2028" w:type="dxa"/>
          </w:tcPr>
          <w:p w14:paraId="0044200A" w14:textId="44704567"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WG1, WG2, WG3</w:t>
            </w:r>
          </w:p>
        </w:tc>
        <w:tc>
          <w:tcPr>
            <w:tcW w:w="1835" w:type="dxa"/>
          </w:tcPr>
          <w:p w14:paraId="508DC0FA" w14:textId="4501105F"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January 2027</w:t>
            </w:r>
          </w:p>
        </w:tc>
      </w:tr>
      <w:tr w:rsidR="00D8057E" w:rsidRPr="00D02B91" w14:paraId="1D140653" w14:textId="77777777" w:rsidTr="008D0953">
        <w:tc>
          <w:tcPr>
            <w:tcW w:w="988" w:type="dxa"/>
          </w:tcPr>
          <w:p w14:paraId="5DC4DE55" w14:textId="6AD1AE8D" w:rsidR="00D8057E" w:rsidRPr="00D02B91" w:rsidRDefault="001F23E0" w:rsidP="00D8057E">
            <w:pPr>
              <w:jc w:val="both"/>
              <w:rPr>
                <w:rFonts w:ascii="Arial Narrow" w:hAnsi="Arial Narrow"/>
                <w:bCs/>
                <w:sz w:val="22"/>
                <w:szCs w:val="22"/>
              </w:rPr>
            </w:pPr>
            <w:r w:rsidRPr="00D02B91">
              <w:rPr>
                <w:rFonts w:ascii="Arial Narrow" w:hAnsi="Arial Narrow"/>
                <w:bCs/>
                <w:sz w:val="22"/>
                <w:szCs w:val="22"/>
              </w:rPr>
              <w:t>6</w:t>
            </w:r>
          </w:p>
        </w:tc>
        <w:tc>
          <w:tcPr>
            <w:tcW w:w="2835" w:type="dxa"/>
          </w:tcPr>
          <w:p w14:paraId="64924F13" w14:textId="709B6B01"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2027 Annual Economic Report on the EU Fishing Fleet (Terms of Reference)</w:t>
            </w:r>
          </w:p>
        </w:tc>
        <w:tc>
          <w:tcPr>
            <w:tcW w:w="1376" w:type="dxa"/>
          </w:tcPr>
          <w:p w14:paraId="5BF070D4" w14:textId="31ACC0EB"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2.5.c)</w:t>
            </w:r>
          </w:p>
        </w:tc>
        <w:tc>
          <w:tcPr>
            <w:tcW w:w="2028" w:type="dxa"/>
          </w:tcPr>
          <w:p w14:paraId="3225688E" w14:textId="4B71D315"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WG1</w:t>
            </w:r>
          </w:p>
        </w:tc>
        <w:tc>
          <w:tcPr>
            <w:tcW w:w="1835" w:type="dxa"/>
          </w:tcPr>
          <w:p w14:paraId="6028ECDF" w14:textId="5F566087"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January 2027</w:t>
            </w:r>
          </w:p>
        </w:tc>
      </w:tr>
      <w:tr w:rsidR="00D8057E" w:rsidRPr="00D02B91" w14:paraId="7CA0E63C" w14:textId="77777777" w:rsidTr="008D0953">
        <w:tc>
          <w:tcPr>
            <w:tcW w:w="988" w:type="dxa"/>
          </w:tcPr>
          <w:p w14:paraId="1F0D2A90" w14:textId="04DCE9CB" w:rsidR="00D8057E" w:rsidRPr="00D02B91" w:rsidRDefault="001F23E0" w:rsidP="00D8057E">
            <w:pPr>
              <w:jc w:val="both"/>
              <w:rPr>
                <w:rFonts w:ascii="Arial Narrow" w:hAnsi="Arial Narrow"/>
                <w:bCs/>
                <w:sz w:val="22"/>
                <w:szCs w:val="22"/>
              </w:rPr>
            </w:pPr>
            <w:r w:rsidRPr="00D02B91">
              <w:rPr>
                <w:rFonts w:ascii="Arial Narrow" w:hAnsi="Arial Narrow"/>
                <w:bCs/>
                <w:sz w:val="22"/>
                <w:szCs w:val="22"/>
              </w:rPr>
              <w:t>7</w:t>
            </w:r>
          </w:p>
        </w:tc>
        <w:tc>
          <w:tcPr>
            <w:tcW w:w="2835" w:type="dxa"/>
          </w:tcPr>
          <w:p w14:paraId="57269002" w14:textId="5E4D90C5"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Work Programme of EUMOFA, including suggestions of case studies and talks</w:t>
            </w:r>
          </w:p>
        </w:tc>
        <w:tc>
          <w:tcPr>
            <w:tcW w:w="1376" w:type="dxa"/>
          </w:tcPr>
          <w:p w14:paraId="7D6F7151" w14:textId="6035F882"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2.5.g)</w:t>
            </w:r>
          </w:p>
        </w:tc>
        <w:tc>
          <w:tcPr>
            <w:tcW w:w="2028" w:type="dxa"/>
          </w:tcPr>
          <w:p w14:paraId="375B3367" w14:textId="558CA608"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WG1</w:t>
            </w:r>
          </w:p>
        </w:tc>
        <w:tc>
          <w:tcPr>
            <w:tcW w:w="1835" w:type="dxa"/>
          </w:tcPr>
          <w:p w14:paraId="40CFBD60" w14:textId="0550C100"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May 2027</w:t>
            </w:r>
          </w:p>
        </w:tc>
      </w:tr>
      <w:tr w:rsidR="00D8057E" w:rsidRPr="00D02B91" w14:paraId="28EAE55A" w14:textId="77777777" w:rsidTr="008D0953">
        <w:tc>
          <w:tcPr>
            <w:tcW w:w="988" w:type="dxa"/>
          </w:tcPr>
          <w:p w14:paraId="60B891F7" w14:textId="238C10F4" w:rsidR="00D8057E" w:rsidRPr="00D02B91" w:rsidRDefault="001F23E0" w:rsidP="00D8057E">
            <w:pPr>
              <w:jc w:val="both"/>
              <w:rPr>
                <w:rFonts w:ascii="Arial Narrow" w:hAnsi="Arial Narrow"/>
                <w:bCs/>
                <w:sz w:val="22"/>
                <w:szCs w:val="22"/>
              </w:rPr>
            </w:pPr>
            <w:r w:rsidRPr="00D02B91">
              <w:rPr>
                <w:rFonts w:ascii="Arial Narrow" w:hAnsi="Arial Narrow"/>
                <w:bCs/>
                <w:sz w:val="22"/>
                <w:szCs w:val="22"/>
              </w:rPr>
              <w:t>8</w:t>
            </w:r>
          </w:p>
        </w:tc>
        <w:tc>
          <w:tcPr>
            <w:tcW w:w="2835" w:type="dxa"/>
          </w:tcPr>
          <w:p w14:paraId="23C49609" w14:textId="2F0AB7B1"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FAO’s Sub-Committee on Fish Trade (EU’s mandate)</w:t>
            </w:r>
          </w:p>
        </w:tc>
        <w:tc>
          <w:tcPr>
            <w:tcW w:w="1376" w:type="dxa"/>
          </w:tcPr>
          <w:p w14:paraId="47BCA0ED" w14:textId="790D9EEF"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2.5.c)</w:t>
            </w:r>
          </w:p>
        </w:tc>
        <w:tc>
          <w:tcPr>
            <w:tcW w:w="2028" w:type="dxa"/>
          </w:tcPr>
          <w:p w14:paraId="2A766CC8" w14:textId="531E18C5"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WG2</w:t>
            </w:r>
          </w:p>
        </w:tc>
        <w:tc>
          <w:tcPr>
            <w:tcW w:w="1835" w:type="dxa"/>
          </w:tcPr>
          <w:p w14:paraId="1C37EF7A" w14:textId="1DD62B9A"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May 2027</w:t>
            </w:r>
          </w:p>
        </w:tc>
      </w:tr>
      <w:tr w:rsidR="00D8057E" w:rsidRPr="00D02B91" w14:paraId="6BCEC2C0" w14:textId="77777777" w:rsidTr="008D0953">
        <w:tc>
          <w:tcPr>
            <w:tcW w:w="988" w:type="dxa"/>
          </w:tcPr>
          <w:p w14:paraId="3BEA3455" w14:textId="76BA8147" w:rsidR="00D8057E" w:rsidRPr="00D02B91" w:rsidRDefault="001F23E0" w:rsidP="00D8057E">
            <w:pPr>
              <w:jc w:val="both"/>
              <w:rPr>
                <w:rFonts w:ascii="Arial Narrow" w:hAnsi="Arial Narrow"/>
                <w:bCs/>
                <w:sz w:val="22"/>
                <w:szCs w:val="22"/>
              </w:rPr>
            </w:pPr>
            <w:r w:rsidRPr="00D02B91">
              <w:rPr>
                <w:rFonts w:ascii="Arial Narrow" w:hAnsi="Arial Narrow"/>
                <w:bCs/>
                <w:sz w:val="22"/>
                <w:szCs w:val="22"/>
              </w:rPr>
              <w:t>9</w:t>
            </w:r>
          </w:p>
        </w:tc>
        <w:tc>
          <w:tcPr>
            <w:tcW w:w="2835" w:type="dxa"/>
          </w:tcPr>
          <w:p w14:paraId="22E6655E" w14:textId="18064F5F" w:rsidR="00D8057E" w:rsidRPr="00D02B91" w:rsidRDefault="00D8057E" w:rsidP="00D8057E">
            <w:pPr>
              <w:jc w:val="both"/>
              <w:rPr>
                <w:rFonts w:ascii="Arial Narrow" w:hAnsi="Arial Narrow"/>
                <w:bCs/>
                <w:sz w:val="22"/>
                <w:szCs w:val="22"/>
              </w:rPr>
            </w:pPr>
            <w:commentRangeStart w:id="6"/>
            <w:r w:rsidRPr="00D02B91">
              <w:rPr>
                <w:rFonts w:ascii="Arial Narrow" w:hAnsi="Arial Narrow"/>
                <w:bCs/>
                <w:sz w:val="22"/>
                <w:szCs w:val="22"/>
              </w:rPr>
              <w:t xml:space="preserve">Fights against Illegal, Unreported and Unregulated (IUU) Fishing &amp; Forced Labour, Due diligence </w:t>
            </w:r>
            <w:commentRangeEnd w:id="6"/>
            <w:r w:rsidR="00D02B91" w:rsidRPr="00D02B91">
              <w:rPr>
                <w:rStyle w:val="CommentReference"/>
                <w:rFonts w:ascii="Arial Narrow" w:hAnsi="Arial Narrow"/>
                <w:bCs/>
                <w:sz w:val="22"/>
                <w:szCs w:val="22"/>
              </w:rPr>
              <w:commentReference w:id="6"/>
            </w:r>
          </w:p>
        </w:tc>
        <w:tc>
          <w:tcPr>
            <w:tcW w:w="1376" w:type="dxa"/>
          </w:tcPr>
          <w:p w14:paraId="7BCB7B5F" w14:textId="00BFD1EA"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2.5.g)</w:t>
            </w:r>
          </w:p>
        </w:tc>
        <w:tc>
          <w:tcPr>
            <w:tcW w:w="2028" w:type="dxa"/>
          </w:tcPr>
          <w:p w14:paraId="4848DC81" w14:textId="59E4A08C"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WG2</w:t>
            </w:r>
          </w:p>
        </w:tc>
        <w:tc>
          <w:tcPr>
            <w:tcW w:w="1835" w:type="dxa"/>
          </w:tcPr>
          <w:p w14:paraId="2E401768" w14:textId="2FA64335" w:rsidR="00D8057E" w:rsidRPr="00D02B91" w:rsidRDefault="00D8057E" w:rsidP="00D8057E">
            <w:pPr>
              <w:jc w:val="both"/>
              <w:rPr>
                <w:rFonts w:ascii="Arial Narrow" w:hAnsi="Arial Narrow"/>
                <w:bCs/>
                <w:i/>
                <w:iCs/>
                <w:sz w:val="22"/>
                <w:szCs w:val="22"/>
              </w:rPr>
            </w:pPr>
            <w:r w:rsidRPr="00D02B91">
              <w:rPr>
                <w:rFonts w:ascii="Arial Narrow" w:hAnsi="Arial Narrow"/>
                <w:bCs/>
                <w:i/>
                <w:iCs/>
                <w:sz w:val="22"/>
                <w:szCs w:val="22"/>
              </w:rPr>
              <w:t>Ad hoc</w:t>
            </w:r>
          </w:p>
        </w:tc>
      </w:tr>
      <w:tr w:rsidR="00D8057E" w:rsidRPr="00D02B91" w14:paraId="443F66D2" w14:textId="77777777" w:rsidTr="008D0953">
        <w:tc>
          <w:tcPr>
            <w:tcW w:w="988" w:type="dxa"/>
          </w:tcPr>
          <w:p w14:paraId="33DC4A02" w14:textId="6D213519" w:rsidR="00D8057E" w:rsidRPr="00D02B91" w:rsidRDefault="001F23E0" w:rsidP="00D8057E">
            <w:pPr>
              <w:jc w:val="both"/>
              <w:rPr>
                <w:rFonts w:ascii="Arial Narrow" w:hAnsi="Arial Narrow"/>
                <w:bCs/>
                <w:sz w:val="22"/>
                <w:szCs w:val="22"/>
              </w:rPr>
            </w:pPr>
            <w:r w:rsidRPr="00D02B91">
              <w:rPr>
                <w:rFonts w:ascii="Arial Narrow" w:hAnsi="Arial Narrow"/>
                <w:bCs/>
                <w:sz w:val="22"/>
                <w:szCs w:val="22"/>
              </w:rPr>
              <w:t>10</w:t>
            </w:r>
          </w:p>
        </w:tc>
        <w:tc>
          <w:tcPr>
            <w:tcW w:w="2835" w:type="dxa"/>
          </w:tcPr>
          <w:p w14:paraId="250FF443" w14:textId="33C4D2F9" w:rsidR="00D8057E" w:rsidRPr="00D02B91" w:rsidRDefault="00D8057E" w:rsidP="00D8057E">
            <w:pPr>
              <w:jc w:val="both"/>
              <w:rPr>
                <w:rFonts w:ascii="Arial Narrow" w:hAnsi="Arial Narrow"/>
                <w:bCs/>
                <w:sz w:val="22"/>
                <w:szCs w:val="22"/>
              </w:rPr>
            </w:pPr>
            <w:commentRangeStart w:id="7"/>
            <w:r w:rsidRPr="00D02B91">
              <w:rPr>
                <w:rFonts w:ascii="Arial Narrow" w:hAnsi="Arial Narrow"/>
                <w:bCs/>
                <w:sz w:val="22"/>
                <w:szCs w:val="22"/>
              </w:rPr>
              <w:t>Trade (e.g., FTAs, ATQs, GSP)</w:t>
            </w:r>
            <w:commentRangeEnd w:id="7"/>
            <w:r w:rsidR="00D02B91" w:rsidRPr="00D02B91">
              <w:rPr>
                <w:rStyle w:val="CommentReference"/>
                <w:rFonts w:ascii="Arial Narrow" w:hAnsi="Arial Narrow"/>
                <w:bCs/>
                <w:sz w:val="22"/>
                <w:szCs w:val="22"/>
              </w:rPr>
              <w:commentReference w:id="7"/>
            </w:r>
          </w:p>
        </w:tc>
        <w:tc>
          <w:tcPr>
            <w:tcW w:w="1376" w:type="dxa"/>
          </w:tcPr>
          <w:p w14:paraId="701A7764" w14:textId="64D03545"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2.5.e)</w:t>
            </w:r>
          </w:p>
        </w:tc>
        <w:tc>
          <w:tcPr>
            <w:tcW w:w="2028" w:type="dxa"/>
          </w:tcPr>
          <w:p w14:paraId="42633B5A" w14:textId="09809924"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WG2</w:t>
            </w:r>
          </w:p>
        </w:tc>
        <w:tc>
          <w:tcPr>
            <w:tcW w:w="1835" w:type="dxa"/>
          </w:tcPr>
          <w:p w14:paraId="73E8C7A1" w14:textId="5083C943" w:rsidR="00D8057E" w:rsidRPr="00D02B91" w:rsidRDefault="00D8057E" w:rsidP="00D8057E">
            <w:pPr>
              <w:jc w:val="both"/>
              <w:rPr>
                <w:rFonts w:ascii="Arial Narrow" w:hAnsi="Arial Narrow"/>
                <w:bCs/>
                <w:i/>
                <w:iCs/>
                <w:sz w:val="22"/>
                <w:szCs w:val="22"/>
              </w:rPr>
            </w:pPr>
            <w:r w:rsidRPr="00D02B91">
              <w:rPr>
                <w:rFonts w:ascii="Arial Narrow" w:hAnsi="Arial Narrow"/>
                <w:bCs/>
                <w:i/>
                <w:iCs/>
                <w:sz w:val="22"/>
                <w:szCs w:val="22"/>
              </w:rPr>
              <w:t>Ad hoc</w:t>
            </w:r>
          </w:p>
        </w:tc>
      </w:tr>
      <w:tr w:rsidR="00D8057E" w:rsidRPr="00D02B91" w14:paraId="67CC8226" w14:textId="77777777" w:rsidTr="00A1597F">
        <w:tc>
          <w:tcPr>
            <w:tcW w:w="988" w:type="dxa"/>
          </w:tcPr>
          <w:p w14:paraId="656CC498" w14:textId="267C3327" w:rsidR="00D8057E" w:rsidRPr="00D02B91" w:rsidRDefault="00D8057E" w:rsidP="00D8057E">
            <w:pPr>
              <w:jc w:val="both"/>
              <w:rPr>
                <w:rFonts w:ascii="Arial Narrow" w:hAnsi="Arial Narrow"/>
                <w:bCs/>
                <w:sz w:val="22"/>
                <w:szCs w:val="22"/>
              </w:rPr>
            </w:pPr>
            <w:bookmarkStart w:id="8" w:name="_Hlk137741982"/>
            <w:r w:rsidRPr="00D02B91">
              <w:rPr>
                <w:rFonts w:ascii="Arial Narrow" w:hAnsi="Arial Narrow"/>
                <w:bCs/>
                <w:sz w:val="22"/>
                <w:szCs w:val="22"/>
              </w:rPr>
              <w:t>1</w:t>
            </w:r>
            <w:r w:rsidR="001F23E0" w:rsidRPr="00D02B91">
              <w:rPr>
                <w:rFonts w:ascii="Arial Narrow" w:hAnsi="Arial Narrow"/>
                <w:bCs/>
                <w:sz w:val="22"/>
                <w:szCs w:val="22"/>
              </w:rPr>
              <w:t>1</w:t>
            </w:r>
          </w:p>
          <w:p w14:paraId="3EEBF2D5" w14:textId="1BB9201A" w:rsidR="00D8057E" w:rsidRPr="00D02B91" w:rsidRDefault="00D8057E" w:rsidP="00D8057E">
            <w:pPr>
              <w:jc w:val="both"/>
              <w:rPr>
                <w:rFonts w:ascii="Arial Narrow" w:hAnsi="Arial Narrow"/>
                <w:bCs/>
                <w:sz w:val="22"/>
                <w:szCs w:val="22"/>
              </w:rPr>
            </w:pPr>
          </w:p>
        </w:tc>
        <w:tc>
          <w:tcPr>
            <w:tcW w:w="2835" w:type="dxa"/>
          </w:tcPr>
          <w:p w14:paraId="7CCFAF97" w14:textId="715450D9"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Economic Report on the EU Aquaculture Sector</w:t>
            </w:r>
          </w:p>
        </w:tc>
        <w:tc>
          <w:tcPr>
            <w:tcW w:w="1376" w:type="dxa"/>
          </w:tcPr>
          <w:p w14:paraId="4690285E" w14:textId="1827B235"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Article 2.5.e)</w:t>
            </w:r>
          </w:p>
        </w:tc>
        <w:tc>
          <w:tcPr>
            <w:tcW w:w="2028" w:type="dxa"/>
          </w:tcPr>
          <w:p w14:paraId="2369895F" w14:textId="26590EDD"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WG1</w:t>
            </w:r>
          </w:p>
        </w:tc>
        <w:tc>
          <w:tcPr>
            <w:tcW w:w="1835" w:type="dxa"/>
          </w:tcPr>
          <w:p w14:paraId="22C7D895" w14:textId="4A51FCF0" w:rsidR="00D8057E" w:rsidRPr="00D02B91" w:rsidRDefault="00D8057E" w:rsidP="00D8057E">
            <w:pPr>
              <w:jc w:val="both"/>
              <w:rPr>
                <w:rFonts w:ascii="Arial Narrow" w:hAnsi="Arial Narrow"/>
                <w:bCs/>
                <w:sz w:val="22"/>
                <w:szCs w:val="22"/>
              </w:rPr>
            </w:pPr>
            <w:r w:rsidRPr="00D02B91">
              <w:rPr>
                <w:rFonts w:ascii="Arial Narrow" w:hAnsi="Arial Narrow"/>
                <w:bCs/>
                <w:sz w:val="22"/>
                <w:szCs w:val="22"/>
              </w:rPr>
              <w:t>September 2026</w:t>
            </w:r>
          </w:p>
        </w:tc>
      </w:tr>
      <w:bookmarkEnd w:id="8"/>
    </w:tbl>
    <w:p w14:paraId="036E62E6" w14:textId="77777777" w:rsidR="00941E4B" w:rsidRPr="00D02B91" w:rsidRDefault="00941E4B" w:rsidP="000C0F9A">
      <w:pPr>
        <w:jc w:val="both"/>
        <w:rPr>
          <w:rFonts w:ascii="Arial Narrow" w:hAnsi="Arial Narrow"/>
          <w:b/>
          <w:sz w:val="22"/>
          <w:szCs w:val="22"/>
        </w:rPr>
      </w:pPr>
    </w:p>
    <w:p w14:paraId="60A8BDA2" w14:textId="77777777" w:rsidR="00941E4B" w:rsidRPr="00D02B91" w:rsidRDefault="00941E4B" w:rsidP="000C0F9A">
      <w:pPr>
        <w:jc w:val="both"/>
        <w:rPr>
          <w:rFonts w:ascii="Arial Narrow" w:hAnsi="Arial Narrow"/>
          <w:b/>
          <w:sz w:val="22"/>
          <w:szCs w:val="22"/>
        </w:rPr>
      </w:pPr>
    </w:p>
    <w:p w14:paraId="708DB67D" w14:textId="6FBB58F4" w:rsidR="00C00B3E" w:rsidRPr="00D02B91" w:rsidRDefault="00C00B3E" w:rsidP="000C0F9A">
      <w:pPr>
        <w:jc w:val="both"/>
        <w:rPr>
          <w:rFonts w:ascii="Arial Narrow" w:hAnsi="Arial Narrow"/>
          <w:b/>
          <w:sz w:val="22"/>
          <w:szCs w:val="22"/>
        </w:rPr>
      </w:pPr>
      <w:r w:rsidRPr="00D02B91">
        <w:rPr>
          <w:rFonts w:ascii="Arial Narrow" w:hAnsi="Arial Narrow"/>
          <w:b/>
          <w:sz w:val="22"/>
          <w:szCs w:val="22"/>
        </w:rPr>
        <w:t>Planned p</w:t>
      </w:r>
      <w:r w:rsidR="00EB1A40" w:rsidRPr="00D02B91">
        <w:rPr>
          <w:rFonts w:ascii="Arial Narrow" w:hAnsi="Arial Narrow"/>
          <w:b/>
          <w:sz w:val="22"/>
          <w:szCs w:val="22"/>
        </w:rPr>
        <w:t xml:space="preserve">articipation to </w:t>
      </w:r>
      <w:r w:rsidRPr="00D02B91">
        <w:rPr>
          <w:rFonts w:ascii="Arial Narrow" w:hAnsi="Arial Narrow"/>
          <w:b/>
          <w:sz w:val="22"/>
          <w:szCs w:val="22"/>
        </w:rPr>
        <w:t xml:space="preserve">Commission </w:t>
      </w:r>
      <w:r w:rsidR="00EB1A40" w:rsidRPr="00D02B91">
        <w:rPr>
          <w:rFonts w:ascii="Arial Narrow" w:hAnsi="Arial Narrow"/>
          <w:b/>
          <w:sz w:val="22"/>
          <w:szCs w:val="22"/>
        </w:rPr>
        <w:t>public consultations</w:t>
      </w:r>
      <w:r w:rsidRPr="00D02B91">
        <w:rPr>
          <w:rFonts w:ascii="Arial Narrow" w:hAnsi="Arial Narrow"/>
          <w:b/>
          <w:sz w:val="22"/>
          <w:szCs w:val="22"/>
        </w:rPr>
        <w:t xml:space="preserve"> </w:t>
      </w:r>
    </w:p>
    <w:p w14:paraId="7FF2CB66" w14:textId="77777777" w:rsidR="00C00B3E" w:rsidRPr="00D02B91" w:rsidRDefault="00C00B3E" w:rsidP="000C0F9A">
      <w:pPr>
        <w:jc w:val="both"/>
        <w:rPr>
          <w:rFonts w:ascii="Arial Narrow" w:hAnsi="Arial Narrow"/>
          <w:b/>
          <w:sz w:val="22"/>
          <w:szCs w:val="22"/>
        </w:rPr>
      </w:pPr>
    </w:p>
    <w:tbl>
      <w:tblPr>
        <w:tblStyle w:val="TableGrid"/>
        <w:tblW w:w="0" w:type="auto"/>
        <w:tblLook w:val="04A0" w:firstRow="1" w:lastRow="0" w:firstColumn="1" w:lastColumn="0" w:noHBand="0" w:noVBand="1"/>
      </w:tblPr>
      <w:tblGrid>
        <w:gridCol w:w="2265"/>
        <w:gridCol w:w="2265"/>
        <w:gridCol w:w="2266"/>
        <w:gridCol w:w="2266"/>
      </w:tblGrid>
      <w:tr w:rsidR="00C00B3E" w:rsidRPr="00D02B91" w14:paraId="2589FB48" w14:textId="77777777" w:rsidTr="00C00B3E">
        <w:tc>
          <w:tcPr>
            <w:tcW w:w="2265" w:type="dxa"/>
          </w:tcPr>
          <w:p w14:paraId="2B72BBDE" w14:textId="78FDF5BE" w:rsidR="00C00B3E" w:rsidRPr="00D02B91" w:rsidRDefault="00BD6525" w:rsidP="000C0F9A">
            <w:pPr>
              <w:jc w:val="both"/>
              <w:rPr>
                <w:rFonts w:ascii="Arial Narrow" w:hAnsi="Arial Narrow"/>
                <w:sz w:val="22"/>
                <w:szCs w:val="22"/>
              </w:rPr>
            </w:pPr>
            <w:r w:rsidRPr="00D02B91">
              <w:rPr>
                <w:rFonts w:ascii="Arial Narrow" w:hAnsi="Arial Narrow"/>
                <w:sz w:val="22"/>
                <w:szCs w:val="22"/>
              </w:rPr>
              <w:t>Topic</w:t>
            </w:r>
            <w:r w:rsidR="00C00B3E" w:rsidRPr="00D02B91">
              <w:rPr>
                <w:rFonts w:ascii="Arial Narrow" w:hAnsi="Arial Narrow"/>
                <w:sz w:val="22"/>
                <w:szCs w:val="22"/>
              </w:rPr>
              <w:t>/subject</w:t>
            </w:r>
          </w:p>
        </w:tc>
        <w:tc>
          <w:tcPr>
            <w:tcW w:w="2265" w:type="dxa"/>
          </w:tcPr>
          <w:p w14:paraId="6B9E0924" w14:textId="2587161B" w:rsidR="00C00B3E" w:rsidRPr="00D02B91" w:rsidRDefault="00C00B3E" w:rsidP="000C0F9A">
            <w:pPr>
              <w:jc w:val="both"/>
              <w:rPr>
                <w:rFonts w:ascii="Arial Narrow" w:hAnsi="Arial Narrow"/>
                <w:sz w:val="22"/>
                <w:szCs w:val="22"/>
              </w:rPr>
            </w:pPr>
            <w:r w:rsidRPr="00D02B91">
              <w:rPr>
                <w:rFonts w:ascii="Arial Narrow" w:hAnsi="Arial Narrow"/>
                <w:sz w:val="22"/>
                <w:szCs w:val="22"/>
              </w:rPr>
              <w:t xml:space="preserve">Link with the CFP </w:t>
            </w:r>
          </w:p>
        </w:tc>
        <w:tc>
          <w:tcPr>
            <w:tcW w:w="2266" w:type="dxa"/>
          </w:tcPr>
          <w:p w14:paraId="28D18D96" w14:textId="0119B453" w:rsidR="00C00B3E" w:rsidRPr="00D02B91" w:rsidRDefault="00C00B3E" w:rsidP="000C0F9A">
            <w:pPr>
              <w:jc w:val="both"/>
              <w:rPr>
                <w:rFonts w:ascii="Arial Narrow" w:hAnsi="Arial Narrow"/>
                <w:sz w:val="22"/>
                <w:szCs w:val="22"/>
              </w:rPr>
            </w:pPr>
            <w:r w:rsidRPr="00D02B91">
              <w:rPr>
                <w:rFonts w:ascii="Arial Narrow" w:hAnsi="Arial Narrow"/>
                <w:sz w:val="22"/>
                <w:szCs w:val="22"/>
              </w:rPr>
              <w:t>Deadline for the EU Survey (if available)</w:t>
            </w:r>
          </w:p>
        </w:tc>
        <w:tc>
          <w:tcPr>
            <w:tcW w:w="2266" w:type="dxa"/>
          </w:tcPr>
          <w:p w14:paraId="0A316F5D" w14:textId="52AE9E90" w:rsidR="00C00B3E" w:rsidRPr="00D02B91" w:rsidRDefault="00C00B3E" w:rsidP="000C0F9A">
            <w:pPr>
              <w:jc w:val="both"/>
              <w:rPr>
                <w:rFonts w:ascii="Arial Narrow" w:hAnsi="Arial Narrow"/>
                <w:sz w:val="22"/>
                <w:szCs w:val="22"/>
              </w:rPr>
            </w:pPr>
            <w:r w:rsidRPr="00D02B91">
              <w:rPr>
                <w:rFonts w:ascii="Arial Narrow" w:hAnsi="Arial Narrow"/>
                <w:sz w:val="22"/>
                <w:szCs w:val="22"/>
              </w:rPr>
              <w:t>Planned date for adoption (if available)</w:t>
            </w:r>
          </w:p>
        </w:tc>
      </w:tr>
      <w:tr w:rsidR="00C00B3E" w:rsidRPr="00D02B91" w14:paraId="463BA7C3" w14:textId="77777777" w:rsidTr="00C00B3E">
        <w:tc>
          <w:tcPr>
            <w:tcW w:w="2265" w:type="dxa"/>
          </w:tcPr>
          <w:p w14:paraId="3979D159" w14:textId="77777777" w:rsidR="00C00B3E" w:rsidRPr="00D02B91" w:rsidRDefault="00C00B3E" w:rsidP="000C0F9A">
            <w:pPr>
              <w:jc w:val="both"/>
              <w:rPr>
                <w:rFonts w:ascii="Arial Narrow" w:hAnsi="Arial Narrow"/>
                <w:b/>
                <w:sz w:val="22"/>
                <w:szCs w:val="22"/>
              </w:rPr>
            </w:pPr>
          </w:p>
        </w:tc>
        <w:tc>
          <w:tcPr>
            <w:tcW w:w="2265" w:type="dxa"/>
          </w:tcPr>
          <w:p w14:paraId="11611528" w14:textId="77777777" w:rsidR="00C00B3E" w:rsidRPr="00D02B91" w:rsidRDefault="00C00B3E" w:rsidP="000C0F9A">
            <w:pPr>
              <w:jc w:val="both"/>
              <w:rPr>
                <w:rFonts w:ascii="Arial Narrow" w:hAnsi="Arial Narrow"/>
                <w:b/>
                <w:sz w:val="22"/>
                <w:szCs w:val="22"/>
              </w:rPr>
            </w:pPr>
          </w:p>
        </w:tc>
        <w:tc>
          <w:tcPr>
            <w:tcW w:w="2266" w:type="dxa"/>
          </w:tcPr>
          <w:p w14:paraId="5475607E" w14:textId="77777777" w:rsidR="00C00B3E" w:rsidRPr="00D02B91" w:rsidRDefault="00C00B3E" w:rsidP="000C0F9A">
            <w:pPr>
              <w:jc w:val="both"/>
              <w:rPr>
                <w:rFonts w:ascii="Arial Narrow" w:hAnsi="Arial Narrow"/>
                <w:b/>
                <w:sz w:val="22"/>
                <w:szCs w:val="22"/>
              </w:rPr>
            </w:pPr>
          </w:p>
        </w:tc>
        <w:tc>
          <w:tcPr>
            <w:tcW w:w="2266" w:type="dxa"/>
          </w:tcPr>
          <w:p w14:paraId="3603AE1F" w14:textId="77777777" w:rsidR="00C00B3E" w:rsidRPr="00D02B91" w:rsidRDefault="00C00B3E" w:rsidP="000C0F9A">
            <w:pPr>
              <w:jc w:val="both"/>
              <w:rPr>
                <w:rFonts w:ascii="Arial Narrow" w:hAnsi="Arial Narrow"/>
                <w:b/>
                <w:sz w:val="22"/>
                <w:szCs w:val="22"/>
              </w:rPr>
            </w:pPr>
          </w:p>
        </w:tc>
      </w:tr>
      <w:tr w:rsidR="00C00B3E" w:rsidRPr="00D02B91" w14:paraId="33648D78" w14:textId="77777777" w:rsidTr="00C00B3E">
        <w:tc>
          <w:tcPr>
            <w:tcW w:w="2265" w:type="dxa"/>
          </w:tcPr>
          <w:p w14:paraId="6DAC22A3" w14:textId="77777777" w:rsidR="00C00B3E" w:rsidRPr="00D02B91" w:rsidRDefault="00C00B3E" w:rsidP="000C0F9A">
            <w:pPr>
              <w:jc w:val="both"/>
              <w:rPr>
                <w:rFonts w:ascii="Arial Narrow" w:hAnsi="Arial Narrow"/>
                <w:b/>
                <w:sz w:val="22"/>
                <w:szCs w:val="22"/>
              </w:rPr>
            </w:pPr>
          </w:p>
        </w:tc>
        <w:tc>
          <w:tcPr>
            <w:tcW w:w="2265" w:type="dxa"/>
          </w:tcPr>
          <w:p w14:paraId="7FB9AA44" w14:textId="77777777" w:rsidR="00C00B3E" w:rsidRPr="00D02B91" w:rsidRDefault="00C00B3E" w:rsidP="000C0F9A">
            <w:pPr>
              <w:jc w:val="both"/>
              <w:rPr>
                <w:rFonts w:ascii="Arial Narrow" w:hAnsi="Arial Narrow"/>
                <w:b/>
                <w:sz w:val="22"/>
                <w:szCs w:val="22"/>
              </w:rPr>
            </w:pPr>
          </w:p>
        </w:tc>
        <w:tc>
          <w:tcPr>
            <w:tcW w:w="2266" w:type="dxa"/>
          </w:tcPr>
          <w:p w14:paraId="10C5F801" w14:textId="77777777" w:rsidR="00C00B3E" w:rsidRPr="00D02B91" w:rsidRDefault="00C00B3E" w:rsidP="000C0F9A">
            <w:pPr>
              <w:jc w:val="both"/>
              <w:rPr>
                <w:rFonts w:ascii="Arial Narrow" w:hAnsi="Arial Narrow"/>
                <w:b/>
                <w:sz w:val="22"/>
                <w:szCs w:val="22"/>
              </w:rPr>
            </w:pPr>
          </w:p>
        </w:tc>
        <w:tc>
          <w:tcPr>
            <w:tcW w:w="2266" w:type="dxa"/>
          </w:tcPr>
          <w:p w14:paraId="15C7F73D" w14:textId="77777777" w:rsidR="00C00B3E" w:rsidRPr="00D02B91" w:rsidRDefault="00C00B3E" w:rsidP="000C0F9A">
            <w:pPr>
              <w:jc w:val="both"/>
              <w:rPr>
                <w:rFonts w:ascii="Arial Narrow" w:hAnsi="Arial Narrow"/>
                <w:b/>
                <w:sz w:val="22"/>
                <w:szCs w:val="22"/>
              </w:rPr>
            </w:pPr>
          </w:p>
        </w:tc>
      </w:tr>
      <w:tr w:rsidR="00373D8A" w:rsidRPr="00D02B91" w14:paraId="6D12E254" w14:textId="77777777" w:rsidTr="00C00B3E">
        <w:tc>
          <w:tcPr>
            <w:tcW w:w="2265" w:type="dxa"/>
          </w:tcPr>
          <w:p w14:paraId="42D83ED8" w14:textId="77777777" w:rsidR="00373D8A" w:rsidRPr="00D02B91" w:rsidRDefault="00373D8A" w:rsidP="000C0F9A">
            <w:pPr>
              <w:jc w:val="both"/>
              <w:rPr>
                <w:rFonts w:ascii="Arial Narrow" w:hAnsi="Arial Narrow"/>
                <w:b/>
                <w:sz w:val="22"/>
                <w:szCs w:val="22"/>
              </w:rPr>
            </w:pPr>
          </w:p>
        </w:tc>
        <w:tc>
          <w:tcPr>
            <w:tcW w:w="2265" w:type="dxa"/>
          </w:tcPr>
          <w:p w14:paraId="7CEFBDA2" w14:textId="77777777" w:rsidR="00373D8A" w:rsidRPr="00D02B91" w:rsidRDefault="00373D8A" w:rsidP="000C0F9A">
            <w:pPr>
              <w:jc w:val="both"/>
              <w:rPr>
                <w:rFonts w:ascii="Arial Narrow" w:hAnsi="Arial Narrow"/>
                <w:b/>
                <w:sz w:val="22"/>
                <w:szCs w:val="22"/>
              </w:rPr>
            </w:pPr>
          </w:p>
        </w:tc>
        <w:tc>
          <w:tcPr>
            <w:tcW w:w="2266" w:type="dxa"/>
          </w:tcPr>
          <w:p w14:paraId="144ADB01" w14:textId="77777777" w:rsidR="00373D8A" w:rsidRPr="00D02B91" w:rsidRDefault="00373D8A" w:rsidP="000C0F9A">
            <w:pPr>
              <w:jc w:val="both"/>
              <w:rPr>
                <w:rFonts w:ascii="Arial Narrow" w:hAnsi="Arial Narrow"/>
                <w:b/>
                <w:sz w:val="22"/>
                <w:szCs w:val="22"/>
              </w:rPr>
            </w:pPr>
          </w:p>
        </w:tc>
        <w:tc>
          <w:tcPr>
            <w:tcW w:w="2266" w:type="dxa"/>
          </w:tcPr>
          <w:p w14:paraId="16C05F40" w14:textId="77777777" w:rsidR="00373D8A" w:rsidRPr="00D02B91" w:rsidRDefault="00373D8A" w:rsidP="000C0F9A">
            <w:pPr>
              <w:jc w:val="both"/>
              <w:rPr>
                <w:rFonts w:ascii="Arial Narrow" w:hAnsi="Arial Narrow"/>
                <w:b/>
                <w:sz w:val="22"/>
                <w:szCs w:val="22"/>
              </w:rPr>
            </w:pPr>
          </w:p>
        </w:tc>
      </w:tr>
    </w:tbl>
    <w:p w14:paraId="0A311EF5" w14:textId="0CDFC504" w:rsidR="00E80EFA" w:rsidRPr="00D02B91" w:rsidRDefault="00E80EFA">
      <w:pPr>
        <w:rPr>
          <w:rFonts w:ascii="Arial Narrow" w:hAnsi="Arial Narrow"/>
          <w:b/>
          <w:bCs/>
          <w:sz w:val="22"/>
          <w:szCs w:val="22"/>
        </w:rPr>
        <w:sectPr w:rsidR="00E80EFA" w:rsidRPr="00D02B91" w:rsidSect="0064347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pPr>
    </w:p>
    <w:p w14:paraId="1810FFC0" w14:textId="77777777" w:rsidR="00E80EFA" w:rsidRPr="00D02B91" w:rsidRDefault="00E80EFA">
      <w:pPr>
        <w:rPr>
          <w:rFonts w:ascii="Arial Narrow" w:hAnsi="Arial Narrow"/>
          <w:b/>
          <w:bCs/>
          <w:sz w:val="22"/>
          <w:szCs w:val="22"/>
        </w:rPr>
      </w:pPr>
    </w:p>
    <w:p w14:paraId="1C13E12F" w14:textId="1B2FE92C" w:rsidR="000C0F9A" w:rsidRPr="00D02B91" w:rsidRDefault="00484CCB" w:rsidP="00E5115F">
      <w:pPr>
        <w:rPr>
          <w:rFonts w:ascii="Arial Narrow" w:hAnsi="Arial Narrow"/>
          <w:b/>
          <w:bCs/>
          <w:sz w:val="22"/>
          <w:szCs w:val="22"/>
        </w:rPr>
      </w:pPr>
      <w:r w:rsidRPr="00D02B91">
        <w:rPr>
          <w:rFonts w:ascii="Arial Narrow" w:hAnsi="Arial Narrow"/>
          <w:b/>
          <w:bCs/>
          <w:sz w:val="22"/>
          <w:szCs w:val="22"/>
        </w:rPr>
        <w:t>M</w:t>
      </w:r>
      <w:r w:rsidR="00C00B3E" w:rsidRPr="00D02B91">
        <w:rPr>
          <w:rFonts w:ascii="Arial Narrow" w:hAnsi="Arial Narrow"/>
          <w:b/>
          <w:bCs/>
          <w:sz w:val="22"/>
          <w:szCs w:val="22"/>
        </w:rPr>
        <w:t xml:space="preserve">AC planning of meetings </w:t>
      </w:r>
    </w:p>
    <w:p w14:paraId="02687C55" w14:textId="77777777" w:rsidR="001D0186" w:rsidRPr="00D02B91" w:rsidRDefault="001D0186" w:rsidP="000C0F9A">
      <w:pPr>
        <w:jc w:val="both"/>
        <w:rPr>
          <w:rFonts w:ascii="Arial Narrow" w:hAnsi="Arial Narrow"/>
          <w:b/>
          <w:sz w:val="22"/>
          <w:szCs w:val="22"/>
        </w:rPr>
      </w:pPr>
    </w:p>
    <w:tbl>
      <w:tblPr>
        <w:tblW w:w="9180" w:type="dxa"/>
        <w:tblLayout w:type="fixed"/>
        <w:tblLook w:val="0000" w:firstRow="0" w:lastRow="0" w:firstColumn="0" w:lastColumn="0" w:noHBand="0" w:noVBand="0"/>
      </w:tblPr>
      <w:tblGrid>
        <w:gridCol w:w="9180"/>
      </w:tblGrid>
      <w:tr w:rsidR="000B240A" w:rsidRPr="00D02B91" w14:paraId="5B78BB7D" w14:textId="77777777" w:rsidTr="007C2D0C">
        <w:trPr>
          <w:cantSplit/>
        </w:trPr>
        <w:tc>
          <w:tcPr>
            <w:tcW w:w="9180" w:type="dxa"/>
            <w:shd w:val="clear" w:color="auto" w:fill="000000" w:themeFill="text1"/>
          </w:tcPr>
          <w:p w14:paraId="17B37ABF" w14:textId="10E4E153" w:rsidR="00047371" w:rsidRPr="00D02B91" w:rsidRDefault="00484CCB" w:rsidP="00523115">
            <w:pPr>
              <w:pBdr>
                <w:top w:val="single" w:sz="6" w:space="1" w:color="auto" w:shadow="1"/>
                <w:left w:val="single" w:sz="6" w:space="1" w:color="auto" w:shadow="1"/>
                <w:bottom w:val="single" w:sz="6" w:space="1" w:color="auto" w:shadow="1"/>
                <w:right w:val="single" w:sz="6" w:space="1" w:color="auto" w:shadow="1"/>
              </w:pBdr>
              <w:shd w:val="clear" w:color="auto" w:fill="FFFFFF" w:themeFill="background1"/>
              <w:jc w:val="center"/>
              <w:rPr>
                <w:rFonts w:ascii="Arial Narrow" w:hAnsi="Arial Narrow"/>
                <w:b/>
                <w:sz w:val="22"/>
              </w:rPr>
            </w:pPr>
            <w:r w:rsidRPr="00D02B91">
              <w:rPr>
                <w:rFonts w:ascii="Arial Narrow" w:hAnsi="Arial Narrow"/>
                <w:b/>
                <w:bCs/>
                <w:sz w:val="22"/>
                <w:szCs w:val="22"/>
              </w:rPr>
              <w:t>M</w:t>
            </w:r>
            <w:r w:rsidR="00523115" w:rsidRPr="00D02B91">
              <w:rPr>
                <w:rFonts w:ascii="Arial Narrow" w:hAnsi="Arial Narrow"/>
                <w:b/>
                <w:bCs/>
                <w:sz w:val="22"/>
                <w:szCs w:val="22"/>
              </w:rPr>
              <w:t xml:space="preserve">AC </w:t>
            </w:r>
            <w:r w:rsidR="00047371" w:rsidRPr="00D02B91">
              <w:rPr>
                <w:rFonts w:ascii="Arial Narrow" w:hAnsi="Arial Narrow"/>
                <w:b/>
                <w:bCs/>
                <w:sz w:val="22"/>
                <w:szCs w:val="22"/>
              </w:rPr>
              <w:t>PLANNING</w:t>
            </w:r>
            <w:r w:rsidR="004F6EF1" w:rsidRPr="00D02B91">
              <w:rPr>
                <w:rFonts w:ascii="Arial Narrow" w:hAnsi="Arial Narrow"/>
                <w:b/>
                <w:bCs/>
                <w:sz w:val="22"/>
                <w:szCs w:val="22"/>
              </w:rPr>
              <w:t xml:space="preserve"> OF MEETINGS</w:t>
            </w:r>
            <w:r w:rsidR="00495566" w:rsidRPr="00D02B91">
              <w:rPr>
                <w:rFonts w:ascii="Arial Narrow" w:hAnsi="Arial Narrow"/>
                <w:b/>
                <w:bCs/>
                <w:sz w:val="22"/>
                <w:szCs w:val="22"/>
              </w:rPr>
              <w:t xml:space="preserve"> (</w:t>
            </w:r>
            <w:r w:rsidR="00523115" w:rsidRPr="00D02B91">
              <w:rPr>
                <w:rFonts w:ascii="Arial Narrow" w:hAnsi="Arial Narrow"/>
                <w:b/>
                <w:bCs/>
                <w:sz w:val="22"/>
                <w:szCs w:val="22"/>
              </w:rPr>
              <w:t xml:space="preserve">from </w:t>
            </w:r>
            <w:r w:rsidR="004222AA" w:rsidRPr="00D02B91">
              <w:rPr>
                <w:rFonts w:ascii="Arial Narrow" w:hAnsi="Arial Narrow"/>
                <w:b/>
                <w:bCs/>
                <w:sz w:val="22"/>
                <w:szCs w:val="22"/>
              </w:rPr>
              <w:t>01/10/202</w:t>
            </w:r>
            <w:r w:rsidR="001F23E0" w:rsidRPr="00D02B91">
              <w:rPr>
                <w:rFonts w:ascii="Arial Narrow" w:hAnsi="Arial Narrow"/>
                <w:b/>
                <w:bCs/>
                <w:sz w:val="22"/>
                <w:szCs w:val="22"/>
              </w:rPr>
              <w:t>6</w:t>
            </w:r>
            <w:r w:rsidR="00523115" w:rsidRPr="00D02B91">
              <w:rPr>
                <w:rFonts w:ascii="Arial Narrow" w:hAnsi="Arial Narrow"/>
                <w:b/>
                <w:bCs/>
                <w:sz w:val="22"/>
                <w:szCs w:val="22"/>
              </w:rPr>
              <w:t xml:space="preserve"> to </w:t>
            </w:r>
            <w:r w:rsidR="004222AA" w:rsidRPr="00D02B91">
              <w:rPr>
                <w:rFonts w:ascii="Arial Narrow" w:hAnsi="Arial Narrow"/>
                <w:b/>
                <w:bCs/>
                <w:sz w:val="22"/>
                <w:szCs w:val="22"/>
              </w:rPr>
              <w:t>30/09/202</w:t>
            </w:r>
            <w:r w:rsidR="001F23E0" w:rsidRPr="00D02B91">
              <w:rPr>
                <w:rFonts w:ascii="Arial Narrow" w:hAnsi="Arial Narrow"/>
                <w:b/>
                <w:bCs/>
                <w:sz w:val="22"/>
                <w:szCs w:val="22"/>
              </w:rPr>
              <w:t>7</w:t>
            </w:r>
            <w:r w:rsidR="00495566" w:rsidRPr="00D02B91">
              <w:rPr>
                <w:rFonts w:ascii="Arial Narrow" w:hAnsi="Arial Narrow"/>
                <w:b/>
                <w:bCs/>
                <w:sz w:val="22"/>
                <w:szCs w:val="22"/>
              </w:rPr>
              <w:t>)</w:t>
            </w:r>
          </w:p>
        </w:tc>
      </w:tr>
    </w:tbl>
    <w:p w14:paraId="41BD9CE7" w14:textId="77777777" w:rsidR="00C33192" w:rsidRPr="00D02B91" w:rsidRDefault="00C33192" w:rsidP="00672850">
      <w:pPr>
        <w:jc w:val="both"/>
        <w:rPr>
          <w:rFonts w:ascii="Arial Narrow" w:hAnsi="Arial Narrow"/>
          <w:sz w:val="22"/>
          <w:szCs w:val="22"/>
        </w:rPr>
      </w:pP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558"/>
        <w:gridCol w:w="3264"/>
        <w:gridCol w:w="2410"/>
        <w:gridCol w:w="1844"/>
        <w:gridCol w:w="3175"/>
        <w:gridCol w:w="1357"/>
      </w:tblGrid>
      <w:tr w:rsidR="00BD6ED3" w:rsidRPr="00D02B91" w14:paraId="15DA778E" w14:textId="28F32CCB" w:rsidTr="00941E4B">
        <w:trPr>
          <w:cantSplit/>
          <w:trHeight w:val="318"/>
          <w:jc w:val="center"/>
        </w:trPr>
        <w:tc>
          <w:tcPr>
            <w:tcW w:w="246" w:type="pct"/>
            <w:shd w:val="clear" w:color="auto" w:fill="FFFFFF" w:themeFill="background1"/>
          </w:tcPr>
          <w:p w14:paraId="1D33367E" w14:textId="77777777" w:rsidR="00BD6525" w:rsidRPr="00D02B91" w:rsidRDefault="00BD6525" w:rsidP="00523115">
            <w:pPr>
              <w:jc w:val="center"/>
              <w:rPr>
                <w:rFonts w:ascii="Arial Narrow" w:hAnsi="Arial Narrow"/>
                <w:b/>
                <w:sz w:val="22"/>
                <w:szCs w:val="22"/>
              </w:rPr>
            </w:pPr>
          </w:p>
          <w:p w14:paraId="529AD95C" w14:textId="0E383418" w:rsidR="00BD6525" w:rsidRPr="00D02B91" w:rsidRDefault="00BD6525" w:rsidP="00523115">
            <w:pPr>
              <w:jc w:val="center"/>
              <w:rPr>
                <w:rFonts w:ascii="Arial Narrow" w:hAnsi="Arial Narrow"/>
                <w:b/>
                <w:sz w:val="22"/>
                <w:szCs w:val="22"/>
              </w:rPr>
            </w:pPr>
            <w:r w:rsidRPr="00D02B91">
              <w:rPr>
                <w:rFonts w:ascii="Arial Narrow" w:hAnsi="Arial Narrow"/>
                <w:b/>
                <w:sz w:val="22"/>
                <w:szCs w:val="22"/>
              </w:rPr>
              <w:t>No</w:t>
            </w:r>
          </w:p>
        </w:tc>
        <w:tc>
          <w:tcPr>
            <w:tcW w:w="544" w:type="pct"/>
            <w:shd w:val="clear" w:color="auto" w:fill="FFFFFF" w:themeFill="background1"/>
          </w:tcPr>
          <w:p w14:paraId="2B6A47C1" w14:textId="1FEFEE6F" w:rsidR="00BD6525" w:rsidRPr="00D02B91" w:rsidRDefault="00BD6525" w:rsidP="00523115">
            <w:pPr>
              <w:jc w:val="center"/>
              <w:rPr>
                <w:rFonts w:ascii="Arial Narrow" w:hAnsi="Arial Narrow"/>
                <w:b/>
                <w:sz w:val="22"/>
                <w:szCs w:val="22"/>
              </w:rPr>
            </w:pPr>
          </w:p>
          <w:p w14:paraId="59DB5DCD" w14:textId="274F863D" w:rsidR="00BD6525" w:rsidRPr="00D02B91" w:rsidRDefault="00BD6525" w:rsidP="00523115">
            <w:pPr>
              <w:jc w:val="center"/>
              <w:rPr>
                <w:rFonts w:ascii="Arial Narrow" w:hAnsi="Arial Narrow"/>
                <w:b/>
                <w:sz w:val="22"/>
                <w:szCs w:val="22"/>
              </w:rPr>
            </w:pPr>
            <w:r w:rsidRPr="00D02B91">
              <w:rPr>
                <w:rFonts w:ascii="Arial Narrow" w:hAnsi="Arial Narrow"/>
                <w:b/>
                <w:bCs/>
                <w:sz w:val="22"/>
                <w:szCs w:val="22"/>
              </w:rPr>
              <w:t>Date (for the first 6 months, please provide precise dates)</w:t>
            </w:r>
          </w:p>
        </w:tc>
        <w:tc>
          <w:tcPr>
            <w:tcW w:w="1140" w:type="pct"/>
            <w:shd w:val="clear" w:color="auto" w:fill="FFFFFF" w:themeFill="background1"/>
          </w:tcPr>
          <w:p w14:paraId="44B5DD33" w14:textId="02D8FFD6" w:rsidR="00BD6525" w:rsidRPr="00D02B91" w:rsidRDefault="00BD6525" w:rsidP="00523115">
            <w:pPr>
              <w:jc w:val="center"/>
              <w:rPr>
                <w:rFonts w:ascii="Arial Narrow" w:hAnsi="Arial Narrow"/>
                <w:b/>
                <w:sz w:val="22"/>
                <w:szCs w:val="22"/>
              </w:rPr>
            </w:pPr>
          </w:p>
          <w:p w14:paraId="3784410A" w14:textId="58082260" w:rsidR="00BD6525" w:rsidRPr="00D02B91" w:rsidRDefault="00BD6525" w:rsidP="00523115">
            <w:pPr>
              <w:jc w:val="center"/>
              <w:rPr>
                <w:rFonts w:ascii="Arial Narrow" w:hAnsi="Arial Narrow"/>
                <w:b/>
                <w:bCs/>
                <w:sz w:val="22"/>
                <w:szCs w:val="22"/>
              </w:rPr>
            </w:pPr>
            <w:r w:rsidRPr="00D02B91">
              <w:rPr>
                <w:rFonts w:ascii="Arial Narrow" w:hAnsi="Arial Narrow"/>
                <w:b/>
                <w:bCs/>
                <w:sz w:val="22"/>
                <w:szCs w:val="22"/>
              </w:rPr>
              <w:t>Topic</w:t>
            </w:r>
            <w:r w:rsidR="000648E5" w:rsidRPr="00D02B91">
              <w:rPr>
                <w:rFonts w:ascii="Arial Narrow" w:hAnsi="Arial Narrow"/>
                <w:b/>
                <w:bCs/>
                <w:sz w:val="22"/>
                <w:szCs w:val="22"/>
              </w:rPr>
              <w:t>s</w:t>
            </w:r>
          </w:p>
          <w:p w14:paraId="66EA4715" w14:textId="6A5DAEFF" w:rsidR="00BD6525" w:rsidRPr="00D02B91" w:rsidRDefault="00BD6525" w:rsidP="00523115">
            <w:pPr>
              <w:jc w:val="center"/>
              <w:rPr>
                <w:rFonts w:ascii="Arial Narrow" w:hAnsi="Arial Narrow"/>
                <w:b/>
                <w:sz w:val="22"/>
              </w:rPr>
            </w:pPr>
            <w:r w:rsidRPr="00D02B91">
              <w:rPr>
                <w:rFonts w:ascii="Arial Narrow" w:hAnsi="Arial Narrow"/>
                <w:b/>
                <w:bCs/>
                <w:sz w:val="22"/>
                <w:szCs w:val="22"/>
              </w:rPr>
              <w:t>/</w:t>
            </w:r>
            <w:r w:rsidR="00EF0C51" w:rsidRPr="00D02B91">
              <w:rPr>
                <w:rFonts w:ascii="Arial Narrow" w:hAnsi="Arial Narrow"/>
                <w:b/>
                <w:bCs/>
                <w:sz w:val="22"/>
                <w:szCs w:val="22"/>
              </w:rPr>
              <w:t xml:space="preserve"> Subjects</w:t>
            </w:r>
            <w:r w:rsidRPr="00D02B91">
              <w:rPr>
                <w:rFonts w:ascii="Arial Narrow" w:hAnsi="Arial Narrow"/>
                <w:b/>
                <w:bCs/>
                <w:sz w:val="22"/>
                <w:szCs w:val="22"/>
              </w:rPr>
              <w:t xml:space="preserve"> of meeting</w:t>
            </w:r>
          </w:p>
          <w:p w14:paraId="22391260" w14:textId="77777777" w:rsidR="00BD6525" w:rsidRPr="00D02B91" w:rsidRDefault="00BD6525" w:rsidP="00523115">
            <w:pPr>
              <w:jc w:val="center"/>
              <w:rPr>
                <w:rFonts w:ascii="Arial Narrow" w:hAnsi="Arial Narrow"/>
                <w:b/>
                <w:sz w:val="22"/>
                <w:szCs w:val="22"/>
              </w:rPr>
            </w:pPr>
          </w:p>
        </w:tc>
        <w:tc>
          <w:tcPr>
            <w:tcW w:w="842" w:type="pct"/>
            <w:shd w:val="clear" w:color="auto" w:fill="FFFFFF" w:themeFill="background1"/>
          </w:tcPr>
          <w:p w14:paraId="175685C3" w14:textId="77777777" w:rsidR="00BD6525" w:rsidRPr="00D02B91" w:rsidRDefault="00BD6525" w:rsidP="00523115">
            <w:pPr>
              <w:jc w:val="center"/>
              <w:rPr>
                <w:rFonts w:ascii="Arial Narrow" w:hAnsi="Arial Narrow"/>
                <w:b/>
                <w:sz w:val="22"/>
                <w:szCs w:val="22"/>
              </w:rPr>
            </w:pPr>
          </w:p>
          <w:p w14:paraId="6C05E38F" w14:textId="7BDEADD4" w:rsidR="00BD6525" w:rsidRPr="00D02B91" w:rsidRDefault="00BD6525" w:rsidP="00523115">
            <w:pPr>
              <w:jc w:val="center"/>
              <w:rPr>
                <w:rFonts w:ascii="Arial Narrow" w:hAnsi="Arial Narrow"/>
                <w:b/>
                <w:sz w:val="22"/>
              </w:rPr>
            </w:pPr>
            <w:r w:rsidRPr="00D02B91">
              <w:rPr>
                <w:rFonts w:ascii="Arial Narrow" w:hAnsi="Arial Narrow"/>
                <w:b/>
                <w:bCs/>
                <w:sz w:val="22"/>
                <w:szCs w:val="22"/>
              </w:rPr>
              <w:t>Type of meeting (physical/planned/hybrid)</w:t>
            </w:r>
          </w:p>
        </w:tc>
        <w:tc>
          <w:tcPr>
            <w:tcW w:w="644" w:type="pct"/>
            <w:shd w:val="clear" w:color="auto" w:fill="FFFFFF" w:themeFill="background1"/>
          </w:tcPr>
          <w:p w14:paraId="47DD8480" w14:textId="77777777" w:rsidR="00BD6525" w:rsidRPr="00D02B91" w:rsidRDefault="00BD6525" w:rsidP="00523115">
            <w:pPr>
              <w:jc w:val="center"/>
              <w:rPr>
                <w:rFonts w:ascii="Arial Narrow" w:hAnsi="Arial Narrow"/>
                <w:b/>
                <w:sz w:val="22"/>
                <w:szCs w:val="22"/>
              </w:rPr>
            </w:pPr>
          </w:p>
          <w:p w14:paraId="6D5642A2" w14:textId="379BA4D7" w:rsidR="00BD6525" w:rsidRPr="00D02B91" w:rsidRDefault="000648E5" w:rsidP="00523115">
            <w:pPr>
              <w:jc w:val="center"/>
              <w:rPr>
                <w:rFonts w:ascii="Arial Narrow" w:hAnsi="Arial Narrow"/>
                <w:b/>
                <w:sz w:val="22"/>
                <w:szCs w:val="22"/>
              </w:rPr>
            </w:pPr>
            <w:r w:rsidRPr="00D02B91">
              <w:rPr>
                <w:rFonts w:ascii="Arial Narrow" w:hAnsi="Arial Narrow"/>
                <w:b/>
                <w:sz w:val="22"/>
                <w:szCs w:val="22"/>
              </w:rPr>
              <w:t xml:space="preserve">European Commission </w:t>
            </w:r>
            <w:r w:rsidR="00BD6525" w:rsidRPr="00D02B91">
              <w:rPr>
                <w:rFonts w:ascii="Arial Narrow" w:hAnsi="Arial Narrow"/>
                <w:b/>
                <w:sz w:val="22"/>
                <w:szCs w:val="22"/>
              </w:rPr>
              <w:t>participation requested (yes/no)</w:t>
            </w:r>
          </w:p>
          <w:p w14:paraId="38F7CF5A" w14:textId="0004510D" w:rsidR="00BD6525" w:rsidRPr="00D02B91" w:rsidRDefault="00BD6525" w:rsidP="00523115">
            <w:pPr>
              <w:jc w:val="center"/>
              <w:rPr>
                <w:rFonts w:ascii="Arial Narrow" w:hAnsi="Arial Narrow"/>
                <w:b/>
                <w:sz w:val="22"/>
              </w:rPr>
            </w:pPr>
          </w:p>
        </w:tc>
        <w:tc>
          <w:tcPr>
            <w:tcW w:w="1109" w:type="pct"/>
            <w:shd w:val="clear" w:color="auto" w:fill="FFFFFF" w:themeFill="background1"/>
          </w:tcPr>
          <w:p w14:paraId="17974F8F" w14:textId="690F8B58" w:rsidR="00BD6525" w:rsidRPr="00D02B91" w:rsidRDefault="00BD6525" w:rsidP="000648E5">
            <w:pPr>
              <w:jc w:val="center"/>
              <w:rPr>
                <w:rFonts w:ascii="Arial Narrow" w:hAnsi="Arial Narrow"/>
                <w:b/>
                <w:sz w:val="22"/>
                <w:szCs w:val="22"/>
              </w:rPr>
            </w:pPr>
            <w:r w:rsidRPr="00D02B91">
              <w:rPr>
                <w:rFonts w:ascii="Arial Narrow" w:hAnsi="Arial Narrow"/>
                <w:b/>
                <w:sz w:val="22"/>
                <w:szCs w:val="22"/>
              </w:rPr>
              <w:t xml:space="preserve">If </w:t>
            </w:r>
            <w:r w:rsidR="000648E5" w:rsidRPr="00D02B91">
              <w:rPr>
                <w:rFonts w:ascii="Arial Narrow" w:hAnsi="Arial Narrow"/>
                <w:b/>
                <w:sz w:val="22"/>
                <w:szCs w:val="22"/>
              </w:rPr>
              <w:t xml:space="preserve">Commission </w:t>
            </w:r>
            <w:r w:rsidRPr="00D02B91">
              <w:rPr>
                <w:rFonts w:ascii="Arial Narrow" w:hAnsi="Arial Narrow"/>
                <w:b/>
                <w:sz w:val="22"/>
                <w:szCs w:val="22"/>
              </w:rPr>
              <w:t>participation requested, specific issues to be dealt with</w:t>
            </w:r>
          </w:p>
        </w:tc>
        <w:tc>
          <w:tcPr>
            <w:tcW w:w="474" w:type="pct"/>
            <w:shd w:val="clear" w:color="auto" w:fill="FFFFFF" w:themeFill="background1"/>
          </w:tcPr>
          <w:p w14:paraId="4F4FEF9D" w14:textId="3CD3775F" w:rsidR="00BD6525" w:rsidRPr="00D02B91" w:rsidRDefault="00BD6525" w:rsidP="00523115">
            <w:pPr>
              <w:jc w:val="center"/>
              <w:rPr>
                <w:rFonts w:ascii="Arial Narrow" w:hAnsi="Arial Narrow"/>
                <w:b/>
                <w:sz w:val="22"/>
                <w:szCs w:val="22"/>
              </w:rPr>
            </w:pPr>
            <w:r w:rsidRPr="00D02B91">
              <w:rPr>
                <w:rFonts w:ascii="Arial Narrow" w:hAnsi="Arial Narrow"/>
                <w:b/>
                <w:sz w:val="22"/>
                <w:szCs w:val="22"/>
              </w:rPr>
              <w:t>Priority for a Commission participation (from 1 to 4)</w:t>
            </w:r>
          </w:p>
          <w:p w14:paraId="140A21AB" w14:textId="401C75FA" w:rsidR="00BD6525" w:rsidRPr="00D02B91" w:rsidRDefault="00BD6525" w:rsidP="00523115">
            <w:pPr>
              <w:jc w:val="center"/>
              <w:rPr>
                <w:rFonts w:ascii="Arial Narrow" w:hAnsi="Arial Narrow"/>
                <w:b/>
                <w:sz w:val="22"/>
                <w:szCs w:val="22"/>
              </w:rPr>
            </w:pPr>
            <w:r w:rsidRPr="00D02B91">
              <w:rPr>
                <w:rFonts w:ascii="Arial Narrow" w:hAnsi="Arial Narrow"/>
                <w:b/>
                <w:sz w:val="22"/>
                <w:szCs w:val="22"/>
              </w:rPr>
              <w:t>(1= highest priority)</w:t>
            </w:r>
          </w:p>
        </w:tc>
      </w:tr>
      <w:tr w:rsidR="00B909F2" w:rsidRPr="00D02B91" w14:paraId="6E2EBE72" w14:textId="77777777" w:rsidTr="00941E4B">
        <w:trPr>
          <w:cantSplit/>
          <w:trHeight w:val="318"/>
          <w:jc w:val="center"/>
        </w:trPr>
        <w:tc>
          <w:tcPr>
            <w:tcW w:w="246" w:type="pct"/>
            <w:shd w:val="clear" w:color="auto" w:fill="FFFFFF" w:themeFill="background1"/>
          </w:tcPr>
          <w:p w14:paraId="6CCD9440" w14:textId="124D1C12"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1</w:t>
            </w:r>
          </w:p>
        </w:tc>
        <w:tc>
          <w:tcPr>
            <w:tcW w:w="544" w:type="pct"/>
            <w:shd w:val="clear" w:color="auto" w:fill="FFFFFF" w:themeFill="background1"/>
          </w:tcPr>
          <w:p w14:paraId="25BD3D68" w14:textId="4C61259D"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November 202</w:t>
            </w:r>
            <w:r w:rsidR="001F23E0" w:rsidRPr="00D02B91">
              <w:rPr>
                <w:rFonts w:ascii="Arial Narrow" w:hAnsi="Arial Narrow"/>
                <w:b/>
                <w:sz w:val="22"/>
                <w:szCs w:val="22"/>
              </w:rPr>
              <w:t>6</w:t>
            </w:r>
          </w:p>
        </w:tc>
        <w:tc>
          <w:tcPr>
            <w:tcW w:w="1140" w:type="pct"/>
            <w:shd w:val="clear" w:color="auto" w:fill="FFFFFF" w:themeFill="background1"/>
          </w:tcPr>
          <w:p w14:paraId="67E996D2" w14:textId="63D12908" w:rsidR="00B909F2" w:rsidRPr="00D02B91" w:rsidRDefault="00B909F2" w:rsidP="00B909F2">
            <w:pPr>
              <w:jc w:val="center"/>
              <w:rPr>
                <w:rFonts w:ascii="Arial Narrow" w:hAnsi="Arial Narrow"/>
                <w:b/>
                <w:sz w:val="22"/>
                <w:szCs w:val="22"/>
              </w:rPr>
            </w:pPr>
            <w:r w:rsidRPr="00D02B91">
              <w:rPr>
                <w:rFonts w:ascii="Arial Narrow" w:hAnsi="Arial Narrow"/>
                <w:b/>
                <w:sz w:val="22"/>
                <w:szCs w:val="22"/>
              </w:rPr>
              <w:t xml:space="preserve">- </w:t>
            </w:r>
            <w:r w:rsidR="00941E4B" w:rsidRPr="00D02B91">
              <w:rPr>
                <w:rFonts w:ascii="Arial Narrow" w:hAnsi="Arial Narrow"/>
                <w:b/>
                <w:sz w:val="22"/>
                <w:szCs w:val="22"/>
              </w:rPr>
              <w:t>Annual Economic Report on the EU Fishing Fleet</w:t>
            </w:r>
          </w:p>
        </w:tc>
        <w:tc>
          <w:tcPr>
            <w:tcW w:w="842" w:type="pct"/>
            <w:shd w:val="clear" w:color="auto" w:fill="FFFFFF" w:themeFill="background1"/>
          </w:tcPr>
          <w:p w14:paraId="5A46D527" w14:textId="77777777"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 xml:space="preserve">Working Group 1 </w:t>
            </w:r>
          </w:p>
          <w:p w14:paraId="074BE08B" w14:textId="7AF9BFFA" w:rsidR="00B909F2" w:rsidRPr="00D02B91" w:rsidRDefault="009C5FA2" w:rsidP="00523115">
            <w:pPr>
              <w:jc w:val="center"/>
              <w:rPr>
                <w:rFonts w:ascii="Arial Narrow" w:hAnsi="Arial Narrow"/>
                <w:b/>
                <w:sz w:val="22"/>
                <w:szCs w:val="22"/>
              </w:rPr>
            </w:pPr>
            <w:r w:rsidRPr="00D02B91">
              <w:rPr>
                <w:rFonts w:ascii="Arial Narrow" w:hAnsi="Arial Narrow"/>
                <w:b/>
                <w:sz w:val="22"/>
                <w:szCs w:val="22"/>
              </w:rPr>
              <w:t>Online (Zoom)</w:t>
            </w:r>
          </w:p>
        </w:tc>
        <w:tc>
          <w:tcPr>
            <w:tcW w:w="644" w:type="pct"/>
            <w:shd w:val="clear" w:color="auto" w:fill="FFFFFF" w:themeFill="background1"/>
          </w:tcPr>
          <w:p w14:paraId="04F1D757" w14:textId="2957C8BA"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4CDEE9D7" w14:textId="35EDC427" w:rsidR="00B909F2" w:rsidRPr="00D02B91" w:rsidRDefault="00B909F2" w:rsidP="00B909F2">
            <w:pPr>
              <w:jc w:val="center"/>
              <w:rPr>
                <w:rFonts w:ascii="Arial Narrow" w:hAnsi="Arial Narrow"/>
                <w:b/>
                <w:sz w:val="22"/>
                <w:szCs w:val="22"/>
              </w:rPr>
            </w:pPr>
            <w:r w:rsidRPr="00D02B91">
              <w:rPr>
                <w:rFonts w:ascii="Arial Narrow" w:hAnsi="Arial Narrow"/>
                <w:b/>
                <w:sz w:val="22"/>
                <w:szCs w:val="22"/>
              </w:rPr>
              <w:t xml:space="preserve">- </w:t>
            </w:r>
            <w:r w:rsidR="00941E4B" w:rsidRPr="00D02B91">
              <w:rPr>
                <w:rFonts w:ascii="Arial Narrow" w:hAnsi="Arial Narrow"/>
                <w:b/>
                <w:sz w:val="22"/>
                <w:szCs w:val="22"/>
              </w:rPr>
              <w:t>Presentation of Annual Economic Report on the EU Fishing Fleet</w:t>
            </w:r>
          </w:p>
        </w:tc>
        <w:tc>
          <w:tcPr>
            <w:tcW w:w="474" w:type="pct"/>
            <w:shd w:val="clear" w:color="auto" w:fill="FFFFFF" w:themeFill="background1"/>
          </w:tcPr>
          <w:p w14:paraId="1EBDB0A7" w14:textId="4F0B066F" w:rsidR="00B909F2" w:rsidRPr="00D02B91" w:rsidRDefault="009C5FA2" w:rsidP="00523115">
            <w:pPr>
              <w:jc w:val="center"/>
              <w:rPr>
                <w:rFonts w:ascii="Arial Narrow" w:hAnsi="Arial Narrow"/>
                <w:b/>
                <w:sz w:val="22"/>
                <w:szCs w:val="22"/>
              </w:rPr>
            </w:pPr>
            <w:r w:rsidRPr="00D02B91">
              <w:rPr>
                <w:rFonts w:ascii="Arial Narrow" w:hAnsi="Arial Narrow"/>
                <w:b/>
                <w:sz w:val="22"/>
                <w:szCs w:val="22"/>
              </w:rPr>
              <w:t>2</w:t>
            </w:r>
          </w:p>
        </w:tc>
      </w:tr>
      <w:tr w:rsidR="009C5FA2" w:rsidRPr="00D02B91" w14:paraId="2F6D17EF" w14:textId="77777777" w:rsidTr="00941E4B">
        <w:trPr>
          <w:cantSplit/>
          <w:trHeight w:val="318"/>
          <w:jc w:val="center"/>
        </w:trPr>
        <w:tc>
          <w:tcPr>
            <w:tcW w:w="246" w:type="pct"/>
            <w:shd w:val="clear" w:color="auto" w:fill="FFFFFF" w:themeFill="background1"/>
          </w:tcPr>
          <w:p w14:paraId="4B8A2E9E" w14:textId="11D4EFFB"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2</w:t>
            </w:r>
          </w:p>
        </w:tc>
        <w:tc>
          <w:tcPr>
            <w:tcW w:w="544" w:type="pct"/>
            <w:shd w:val="clear" w:color="auto" w:fill="FFFFFF" w:themeFill="background1"/>
          </w:tcPr>
          <w:p w14:paraId="0F2B433C" w14:textId="2C80CA6A"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November 202</w:t>
            </w:r>
            <w:r w:rsidR="001F23E0" w:rsidRPr="00D02B91">
              <w:rPr>
                <w:rFonts w:ascii="Arial Narrow" w:hAnsi="Arial Narrow"/>
                <w:b/>
                <w:sz w:val="22"/>
                <w:szCs w:val="22"/>
              </w:rPr>
              <w:t>6</w:t>
            </w:r>
          </w:p>
        </w:tc>
        <w:tc>
          <w:tcPr>
            <w:tcW w:w="1140" w:type="pct"/>
            <w:shd w:val="clear" w:color="auto" w:fill="FFFFFF" w:themeFill="background1"/>
          </w:tcPr>
          <w:p w14:paraId="0BF20410" w14:textId="77777777" w:rsidR="009C5FA2" w:rsidRPr="00D02B91" w:rsidRDefault="009C5FA2" w:rsidP="0000319F">
            <w:pPr>
              <w:jc w:val="center"/>
              <w:rPr>
                <w:rFonts w:ascii="Arial Narrow" w:hAnsi="Arial Narrow"/>
                <w:b/>
                <w:sz w:val="22"/>
                <w:szCs w:val="22"/>
              </w:rPr>
            </w:pPr>
            <w:r w:rsidRPr="00D02B91">
              <w:rPr>
                <w:rFonts w:ascii="Arial Narrow" w:hAnsi="Arial Narrow"/>
                <w:b/>
                <w:sz w:val="22"/>
                <w:szCs w:val="22"/>
              </w:rPr>
              <w:t>- Strategy for External EU Fisheries Action</w:t>
            </w:r>
          </w:p>
          <w:p w14:paraId="09BF147D" w14:textId="37D34C1F" w:rsidR="00941E4B" w:rsidRPr="00D02B91" w:rsidRDefault="00941E4B" w:rsidP="009C5FA2">
            <w:pPr>
              <w:ind w:left="720"/>
              <w:rPr>
                <w:rFonts w:ascii="Arial Narrow" w:hAnsi="Arial Narrow"/>
                <w:b/>
                <w:sz w:val="22"/>
                <w:szCs w:val="22"/>
              </w:rPr>
            </w:pPr>
          </w:p>
        </w:tc>
        <w:tc>
          <w:tcPr>
            <w:tcW w:w="842" w:type="pct"/>
            <w:shd w:val="clear" w:color="auto" w:fill="FFFFFF" w:themeFill="background1"/>
          </w:tcPr>
          <w:p w14:paraId="49B22540" w14:textId="77777777"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Working Group 2</w:t>
            </w:r>
          </w:p>
          <w:p w14:paraId="0281C207" w14:textId="053D3FE3"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Online (Zoom)</w:t>
            </w:r>
          </w:p>
        </w:tc>
        <w:tc>
          <w:tcPr>
            <w:tcW w:w="644" w:type="pct"/>
            <w:shd w:val="clear" w:color="auto" w:fill="FFFFFF" w:themeFill="background1"/>
          </w:tcPr>
          <w:p w14:paraId="46FD2603" w14:textId="5C75B3CF" w:rsidR="009C5FA2" w:rsidRPr="00D02B91" w:rsidRDefault="001F23E0" w:rsidP="00523115">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78A82604" w14:textId="3F7D32C3" w:rsidR="009C5FA2" w:rsidRPr="00D02B91" w:rsidRDefault="00D02B91" w:rsidP="00D02B91">
            <w:pPr>
              <w:pStyle w:val="ListParagraph"/>
              <w:numPr>
                <w:ilvl w:val="0"/>
                <w:numId w:val="12"/>
              </w:numPr>
              <w:jc w:val="center"/>
              <w:rPr>
                <w:rFonts w:ascii="Arial Narrow" w:hAnsi="Arial Narrow"/>
                <w:b/>
                <w:lang w:val="en-GB"/>
              </w:rPr>
            </w:pPr>
            <w:r w:rsidRPr="00D02B91">
              <w:rPr>
                <w:rFonts w:ascii="Arial Narrow" w:hAnsi="Arial Narrow"/>
                <w:b/>
                <w:lang w:val="en-GB"/>
              </w:rPr>
              <w:t xml:space="preserve">Presentation of EU Strategy for External Fisheries Action </w:t>
            </w:r>
          </w:p>
        </w:tc>
        <w:tc>
          <w:tcPr>
            <w:tcW w:w="474" w:type="pct"/>
            <w:shd w:val="clear" w:color="auto" w:fill="FFFFFF" w:themeFill="background1"/>
          </w:tcPr>
          <w:p w14:paraId="65C771FE" w14:textId="2A7FE930" w:rsidR="00BE59F8" w:rsidRPr="00D02B91" w:rsidRDefault="001F23E0" w:rsidP="00BE59F8">
            <w:pPr>
              <w:jc w:val="center"/>
              <w:rPr>
                <w:rFonts w:ascii="Arial Narrow" w:hAnsi="Arial Narrow"/>
                <w:b/>
                <w:sz w:val="22"/>
                <w:szCs w:val="22"/>
              </w:rPr>
            </w:pPr>
            <w:r w:rsidRPr="00D02B91">
              <w:rPr>
                <w:rFonts w:ascii="Arial Narrow" w:hAnsi="Arial Narrow"/>
                <w:b/>
                <w:sz w:val="22"/>
                <w:szCs w:val="22"/>
              </w:rPr>
              <w:t>2</w:t>
            </w:r>
          </w:p>
        </w:tc>
      </w:tr>
      <w:tr w:rsidR="009C5FA2" w:rsidRPr="00D02B91" w14:paraId="1BDECCB9" w14:textId="77777777" w:rsidTr="00941E4B">
        <w:trPr>
          <w:cantSplit/>
          <w:trHeight w:val="318"/>
          <w:jc w:val="center"/>
        </w:trPr>
        <w:tc>
          <w:tcPr>
            <w:tcW w:w="246" w:type="pct"/>
            <w:shd w:val="clear" w:color="auto" w:fill="FFFFFF" w:themeFill="background1"/>
          </w:tcPr>
          <w:p w14:paraId="38E56ABD" w14:textId="310733FF"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3</w:t>
            </w:r>
          </w:p>
        </w:tc>
        <w:tc>
          <w:tcPr>
            <w:tcW w:w="544" w:type="pct"/>
            <w:shd w:val="clear" w:color="auto" w:fill="FFFFFF" w:themeFill="background1"/>
          </w:tcPr>
          <w:p w14:paraId="543CAB93" w14:textId="6374AD8E"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November 202</w:t>
            </w:r>
            <w:r w:rsidR="00B27688" w:rsidRPr="00D02B91">
              <w:rPr>
                <w:rFonts w:ascii="Arial Narrow" w:hAnsi="Arial Narrow"/>
                <w:b/>
                <w:sz w:val="22"/>
                <w:szCs w:val="22"/>
              </w:rPr>
              <w:t>6</w:t>
            </w:r>
          </w:p>
        </w:tc>
        <w:tc>
          <w:tcPr>
            <w:tcW w:w="1140" w:type="pct"/>
            <w:shd w:val="clear" w:color="auto" w:fill="FFFFFF" w:themeFill="background1"/>
          </w:tcPr>
          <w:p w14:paraId="52CB4DBE" w14:textId="77777777" w:rsidR="009C5FA2" w:rsidRDefault="009017DE" w:rsidP="009017DE">
            <w:pPr>
              <w:jc w:val="center"/>
              <w:rPr>
                <w:rFonts w:ascii="Arial Narrow" w:hAnsi="Arial Narrow"/>
                <w:b/>
                <w:sz w:val="22"/>
                <w:szCs w:val="22"/>
              </w:rPr>
            </w:pPr>
            <w:r w:rsidRPr="00D02B91">
              <w:rPr>
                <w:rFonts w:ascii="Arial Narrow" w:hAnsi="Arial Narrow"/>
                <w:b/>
                <w:sz w:val="22"/>
                <w:szCs w:val="22"/>
              </w:rPr>
              <w:t xml:space="preserve">- </w:t>
            </w:r>
            <w:r w:rsidR="00B27688" w:rsidRPr="00D02B91">
              <w:rPr>
                <w:rFonts w:ascii="Arial Narrow" w:hAnsi="Arial Narrow"/>
                <w:b/>
                <w:sz w:val="22"/>
                <w:szCs w:val="22"/>
              </w:rPr>
              <w:t xml:space="preserve">Food </w:t>
            </w:r>
            <w:r w:rsidR="00D168BF">
              <w:rPr>
                <w:rFonts w:ascii="Arial Narrow" w:hAnsi="Arial Narrow"/>
                <w:b/>
                <w:sz w:val="22"/>
                <w:szCs w:val="22"/>
              </w:rPr>
              <w:t>fraud</w:t>
            </w:r>
          </w:p>
          <w:p w14:paraId="368F1B37" w14:textId="77859F4B" w:rsidR="00D168BF" w:rsidRPr="00D02B91" w:rsidRDefault="00D168BF" w:rsidP="009017DE">
            <w:pPr>
              <w:jc w:val="center"/>
              <w:rPr>
                <w:rFonts w:ascii="Arial Narrow" w:hAnsi="Arial Narrow"/>
                <w:b/>
                <w:sz w:val="22"/>
                <w:szCs w:val="22"/>
              </w:rPr>
            </w:pPr>
            <w:r>
              <w:rPr>
                <w:rFonts w:ascii="Arial Narrow" w:hAnsi="Arial Narrow"/>
                <w:b/>
                <w:sz w:val="22"/>
                <w:szCs w:val="22"/>
              </w:rPr>
              <w:t>- EU Awareness Campaign on Aquatic Foods</w:t>
            </w:r>
          </w:p>
        </w:tc>
        <w:tc>
          <w:tcPr>
            <w:tcW w:w="842" w:type="pct"/>
            <w:shd w:val="clear" w:color="auto" w:fill="FFFFFF" w:themeFill="background1"/>
          </w:tcPr>
          <w:p w14:paraId="6F049F3C" w14:textId="77777777"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 xml:space="preserve">Working Group 3 </w:t>
            </w:r>
          </w:p>
          <w:p w14:paraId="2B13EDA4" w14:textId="109A1C91"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Online (Zoom)</w:t>
            </w:r>
          </w:p>
        </w:tc>
        <w:tc>
          <w:tcPr>
            <w:tcW w:w="644" w:type="pct"/>
            <w:shd w:val="clear" w:color="auto" w:fill="FFFFFF" w:themeFill="background1"/>
          </w:tcPr>
          <w:p w14:paraId="36906C31" w14:textId="6AE5BF8C"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5D9375CE" w14:textId="124DB02B" w:rsidR="009C5FA2" w:rsidRPr="00D02B91" w:rsidRDefault="009017DE" w:rsidP="009017DE">
            <w:pPr>
              <w:jc w:val="center"/>
              <w:rPr>
                <w:rFonts w:ascii="Arial Narrow" w:hAnsi="Arial Narrow"/>
                <w:b/>
                <w:sz w:val="22"/>
                <w:szCs w:val="22"/>
              </w:rPr>
            </w:pPr>
            <w:r w:rsidRPr="00D02B91">
              <w:rPr>
                <w:rFonts w:ascii="Arial Narrow" w:hAnsi="Arial Narrow"/>
                <w:b/>
                <w:sz w:val="22"/>
                <w:szCs w:val="22"/>
              </w:rPr>
              <w:t>- Update on</w:t>
            </w:r>
            <w:r w:rsidR="00B27688" w:rsidRPr="00D02B91">
              <w:rPr>
                <w:rFonts w:ascii="Arial Narrow" w:hAnsi="Arial Narrow"/>
                <w:b/>
                <w:sz w:val="22"/>
                <w:szCs w:val="22"/>
              </w:rPr>
              <w:t xml:space="preserve"> food </w:t>
            </w:r>
            <w:r w:rsidR="00D168BF">
              <w:rPr>
                <w:rFonts w:ascii="Arial Narrow" w:hAnsi="Arial Narrow"/>
                <w:b/>
                <w:sz w:val="22"/>
                <w:szCs w:val="22"/>
              </w:rPr>
              <w:t>fraud</w:t>
            </w:r>
          </w:p>
        </w:tc>
        <w:tc>
          <w:tcPr>
            <w:tcW w:w="474" w:type="pct"/>
            <w:shd w:val="clear" w:color="auto" w:fill="FFFFFF" w:themeFill="background1"/>
          </w:tcPr>
          <w:p w14:paraId="7D1B5026" w14:textId="3377F6AD"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2</w:t>
            </w:r>
          </w:p>
        </w:tc>
      </w:tr>
      <w:tr w:rsidR="009C5FA2" w:rsidRPr="00D02B91" w14:paraId="5D6371D2" w14:textId="77777777" w:rsidTr="00941E4B">
        <w:trPr>
          <w:cantSplit/>
          <w:trHeight w:val="318"/>
          <w:jc w:val="center"/>
        </w:trPr>
        <w:tc>
          <w:tcPr>
            <w:tcW w:w="246" w:type="pct"/>
            <w:shd w:val="clear" w:color="auto" w:fill="FFFFFF" w:themeFill="background1"/>
          </w:tcPr>
          <w:p w14:paraId="6DAA725E" w14:textId="3682D696" w:rsidR="009C5FA2" w:rsidRPr="00D02B91" w:rsidRDefault="00941E4B" w:rsidP="00523115">
            <w:pPr>
              <w:jc w:val="center"/>
              <w:rPr>
                <w:rFonts w:ascii="Arial Narrow" w:hAnsi="Arial Narrow"/>
                <w:b/>
                <w:sz w:val="22"/>
                <w:szCs w:val="22"/>
              </w:rPr>
            </w:pPr>
            <w:r w:rsidRPr="00D02B91">
              <w:rPr>
                <w:rFonts w:ascii="Arial Narrow" w:hAnsi="Arial Narrow"/>
                <w:b/>
                <w:sz w:val="22"/>
                <w:szCs w:val="22"/>
              </w:rPr>
              <w:t>4</w:t>
            </w:r>
          </w:p>
        </w:tc>
        <w:tc>
          <w:tcPr>
            <w:tcW w:w="544" w:type="pct"/>
            <w:shd w:val="clear" w:color="auto" w:fill="FFFFFF" w:themeFill="background1"/>
          </w:tcPr>
          <w:p w14:paraId="3EF26F91" w14:textId="22AFDB76"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November 202</w:t>
            </w:r>
            <w:r w:rsidR="00D02B91" w:rsidRPr="00D02B91">
              <w:rPr>
                <w:rFonts w:ascii="Arial Narrow" w:hAnsi="Arial Narrow"/>
                <w:b/>
                <w:sz w:val="22"/>
                <w:szCs w:val="22"/>
              </w:rPr>
              <w:t>6</w:t>
            </w:r>
          </w:p>
        </w:tc>
        <w:tc>
          <w:tcPr>
            <w:tcW w:w="1140" w:type="pct"/>
            <w:shd w:val="clear" w:color="auto" w:fill="FFFFFF" w:themeFill="background1"/>
          </w:tcPr>
          <w:p w14:paraId="5A220CCD" w14:textId="77777777" w:rsidR="009C5FA2" w:rsidRPr="00D02B91" w:rsidRDefault="00941E4B" w:rsidP="00941E4B">
            <w:pPr>
              <w:jc w:val="center"/>
              <w:rPr>
                <w:rFonts w:ascii="Arial Narrow" w:hAnsi="Arial Narrow"/>
                <w:b/>
                <w:sz w:val="22"/>
                <w:szCs w:val="22"/>
              </w:rPr>
            </w:pPr>
            <w:r w:rsidRPr="00D02B91">
              <w:rPr>
                <w:rFonts w:ascii="Arial Narrow" w:hAnsi="Arial Narrow"/>
                <w:b/>
                <w:sz w:val="22"/>
                <w:szCs w:val="22"/>
              </w:rPr>
              <w:t>- Competitiveness</w:t>
            </w:r>
          </w:p>
          <w:p w14:paraId="67520BFB" w14:textId="77777777" w:rsidR="00941E4B" w:rsidRPr="00D02B91" w:rsidRDefault="00941E4B" w:rsidP="00941E4B">
            <w:pPr>
              <w:jc w:val="center"/>
              <w:rPr>
                <w:rFonts w:ascii="Arial Narrow" w:hAnsi="Arial Narrow"/>
                <w:b/>
                <w:bCs/>
                <w:sz w:val="22"/>
                <w:szCs w:val="22"/>
              </w:rPr>
            </w:pPr>
            <w:r w:rsidRPr="00D02B91">
              <w:rPr>
                <w:rFonts w:ascii="Arial Narrow" w:hAnsi="Arial Narrow"/>
                <w:b/>
                <w:bCs/>
                <w:sz w:val="22"/>
                <w:szCs w:val="22"/>
              </w:rPr>
              <w:t>- Adoption of advice</w:t>
            </w:r>
          </w:p>
          <w:p w14:paraId="75AEEB68" w14:textId="0E059B9E" w:rsidR="00941E4B" w:rsidRPr="00D02B91" w:rsidRDefault="00941E4B" w:rsidP="00941E4B">
            <w:pPr>
              <w:jc w:val="center"/>
              <w:rPr>
                <w:rFonts w:ascii="Arial Narrow" w:hAnsi="Arial Narrow"/>
                <w:b/>
                <w:sz w:val="22"/>
                <w:szCs w:val="22"/>
              </w:rPr>
            </w:pPr>
          </w:p>
        </w:tc>
        <w:tc>
          <w:tcPr>
            <w:tcW w:w="842" w:type="pct"/>
            <w:shd w:val="clear" w:color="auto" w:fill="FFFFFF" w:themeFill="background1"/>
          </w:tcPr>
          <w:p w14:paraId="3F55C1E5" w14:textId="77777777"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Executive Committee</w:t>
            </w:r>
          </w:p>
          <w:p w14:paraId="5289FDE6" w14:textId="59CCEA9A" w:rsidR="009C5FA2" w:rsidRPr="00D02B91" w:rsidRDefault="009C5FA2" w:rsidP="00523115">
            <w:pPr>
              <w:jc w:val="center"/>
              <w:rPr>
                <w:rFonts w:ascii="Arial Narrow" w:hAnsi="Arial Narrow"/>
                <w:b/>
                <w:sz w:val="22"/>
                <w:szCs w:val="22"/>
              </w:rPr>
            </w:pPr>
            <w:r w:rsidRPr="00D02B91">
              <w:rPr>
                <w:rFonts w:ascii="Arial Narrow" w:hAnsi="Arial Narrow"/>
                <w:b/>
                <w:sz w:val="22"/>
                <w:szCs w:val="22"/>
              </w:rPr>
              <w:t>Online (Zoom)</w:t>
            </w:r>
          </w:p>
        </w:tc>
        <w:tc>
          <w:tcPr>
            <w:tcW w:w="644" w:type="pct"/>
            <w:shd w:val="clear" w:color="auto" w:fill="FFFFFF" w:themeFill="background1"/>
          </w:tcPr>
          <w:p w14:paraId="12DE49FB" w14:textId="77C7D404" w:rsidR="009C5FA2" w:rsidRPr="00D02B91" w:rsidRDefault="00941E4B" w:rsidP="00523115">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74C8EB76" w14:textId="21BC834A" w:rsidR="009C5FA2" w:rsidRPr="00D02B91" w:rsidRDefault="00941E4B" w:rsidP="00D168BF">
            <w:pPr>
              <w:jc w:val="center"/>
              <w:rPr>
                <w:rFonts w:ascii="Arial Narrow" w:hAnsi="Arial Narrow"/>
                <w:b/>
                <w:sz w:val="22"/>
                <w:szCs w:val="22"/>
              </w:rPr>
            </w:pPr>
            <w:r w:rsidRPr="00D02B91">
              <w:rPr>
                <w:rFonts w:ascii="Arial Narrow" w:hAnsi="Arial Narrow"/>
                <w:b/>
                <w:sz w:val="22"/>
                <w:szCs w:val="22"/>
              </w:rPr>
              <w:t xml:space="preserve">- </w:t>
            </w:r>
            <w:r w:rsidR="00D168BF">
              <w:rPr>
                <w:rFonts w:ascii="Arial Narrow" w:hAnsi="Arial Narrow"/>
                <w:b/>
                <w:sz w:val="22"/>
                <w:szCs w:val="22"/>
              </w:rPr>
              <w:t>Update on competitiveness initiatives of DG MARE</w:t>
            </w:r>
          </w:p>
        </w:tc>
        <w:tc>
          <w:tcPr>
            <w:tcW w:w="474" w:type="pct"/>
            <w:shd w:val="clear" w:color="auto" w:fill="FFFFFF" w:themeFill="background1"/>
          </w:tcPr>
          <w:p w14:paraId="5AFE006E" w14:textId="481D8B39" w:rsidR="009C5FA2" w:rsidRPr="00D02B91" w:rsidRDefault="00941E4B" w:rsidP="00523115">
            <w:pPr>
              <w:jc w:val="center"/>
              <w:rPr>
                <w:rFonts w:ascii="Arial Narrow" w:hAnsi="Arial Narrow"/>
                <w:b/>
                <w:sz w:val="22"/>
                <w:szCs w:val="22"/>
              </w:rPr>
            </w:pPr>
            <w:r w:rsidRPr="00D02B91">
              <w:rPr>
                <w:rFonts w:ascii="Arial Narrow" w:hAnsi="Arial Narrow"/>
                <w:b/>
                <w:sz w:val="22"/>
                <w:szCs w:val="22"/>
              </w:rPr>
              <w:t>2</w:t>
            </w:r>
          </w:p>
        </w:tc>
      </w:tr>
      <w:tr w:rsidR="00B909F2" w:rsidRPr="00D02B91" w14:paraId="416EE3CE" w14:textId="77777777" w:rsidTr="00941E4B">
        <w:trPr>
          <w:cantSplit/>
          <w:trHeight w:val="318"/>
          <w:jc w:val="center"/>
        </w:trPr>
        <w:tc>
          <w:tcPr>
            <w:tcW w:w="246" w:type="pct"/>
            <w:shd w:val="clear" w:color="auto" w:fill="FFFFFF" w:themeFill="background1"/>
          </w:tcPr>
          <w:p w14:paraId="555C0C30" w14:textId="20B82C2D" w:rsidR="00B909F2" w:rsidRPr="00D02B91" w:rsidRDefault="00941E4B" w:rsidP="00523115">
            <w:pPr>
              <w:jc w:val="center"/>
              <w:rPr>
                <w:rFonts w:ascii="Arial Narrow" w:hAnsi="Arial Narrow"/>
                <w:b/>
                <w:sz w:val="22"/>
                <w:szCs w:val="22"/>
              </w:rPr>
            </w:pPr>
            <w:r w:rsidRPr="00D02B91">
              <w:rPr>
                <w:rFonts w:ascii="Arial Narrow" w:hAnsi="Arial Narrow"/>
                <w:b/>
                <w:sz w:val="22"/>
                <w:szCs w:val="22"/>
              </w:rPr>
              <w:t>5</w:t>
            </w:r>
          </w:p>
        </w:tc>
        <w:tc>
          <w:tcPr>
            <w:tcW w:w="544" w:type="pct"/>
            <w:shd w:val="clear" w:color="auto" w:fill="FFFFFF" w:themeFill="background1"/>
          </w:tcPr>
          <w:p w14:paraId="474C71C4" w14:textId="6E0CC7A8"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January 202</w:t>
            </w:r>
            <w:r w:rsidR="00D02B91" w:rsidRPr="00D02B91">
              <w:rPr>
                <w:rFonts w:ascii="Arial Narrow" w:hAnsi="Arial Narrow"/>
                <w:b/>
                <w:sz w:val="22"/>
                <w:szCs w:val="22"/>
              </w:rPr>
              <w:t>7</w:t>
            </w:r>
          </w:p>
        </w:tc>
        <w:tc>
          <w:tcPr>
            <w:tcW w:w="1140" w:type="pct"/>
            <w:shd w:val="clear" w:color="auto" w:fill="FFFFFF" w:themeFill="background1"/>
          </w:tcPr>
          <w:p w14:paraId="5AB54E5C" w14:textId="71420F34" w:rsidR="00B909F2" w:rsidRPr="00D02B91" w:rsidRDefault="00B909F2" w:rsidP="009017DE">
            <w:pPr>
              <w:jc w:val="center"/>
              <w:rPr>
                <w:rFonts w:ascii="Arial Narrow" w:hAnsi="Arial Narrow"/>
                <w:b/>
              </w:rPr>
            </w:pPr>
            <w:r w:rsidRPr="00D02B91">
              <w:rPr>
                <w:rFonts w:ascii="Arial Narrow" w:hAnsi="Arial Narrow"/>
                <w:b/>
                <w:sz w:val="22"/>
                <w:szCs w:val="22"/>
              </w:rPr>
              <w:t>- Annual Economic Report on the EU Fishing Fleet</w:t>
            </w:r>
          </w:p>
        </w:tc>
        <w:tc>
          <w:tcPr>
            <w:tcW w:w="842" w:type="pct"/>
            <w:shd w:val="clear" w:color="auto" w:fill="FFFFFF" w:themeFill="background1"/>
          </w:tcPr>
          <w:p w14:paraId="56B2261F" w14:textId="77777777"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 xml:space="preserve">Working Group 1 </w:t>
            </w:r>
          </w:p>
          <w:p w14:paraId="788BF74F" w14:textId="5FDD3722"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Physical (</w:t>
            </w:r>
            <w:r w:rsidR="009017DE" w:rsidRPr="00D02B91">
              <w:rPr>
                <w:rFonts w:ascii="Arial Narrow" w:hAnsi="Arial Narrow"/>
                <w:b/>
                <w:sz w:val="22"/>
                <w:szCs w:val="22"/>
              </w:rPr>
              <w:t>Oostende</w:t>
            </w:r>
            <w:r w:rsidRPr="00D02B91">
              <w:rPr>
                <w:rFonts w:ascii="Arial Narrow" w:hAnsi="Arial Narrow"/>
                <w:b/>
                <w:sz w:val="22"/>
                <w:szCs w:val="22"/>
              </w:rPr>
              <w:t>)</w:t>
            </w:r>
          </w:p>
        </w:tc>
        <w:tc>
          <w:tcPr>
            <w:tcW w:w="644" w:type="pct"/>
            <w:shd w:val="clear" w:color="auto" w:fill="FFFFFF" w:themeFill="background1"/>
          </w:tcPr>
          <w:p w14:paraId="2C9B9460" w14:textId="434CA651" w:rsidR="00B909F2" w:rsidRPr="00D02B91" w:rsidRDefault="00410836" w:rsidP="00523115">
            <w:pPr>
              <w:jc w:val="center"/>
              <w:rPr>
                <w:rFonts w:ascii="Arial Narrow" w:hAnsi="Arial Narrow"/>
                <w:b/>
                <w:sz w:val="22"/>
                <w:szCs w:val="22"/>
              </w:rPr>
            </w:pPr>
            <w:r w:rsidRPr="00D02B91">
              <w:rPr>
                <w:rFonts w:ascii="Arial Narrow" w:hAnsi="Arial Narrow"/>
                <w:b/>
                <w:sz w:val="22"/>
                <w:szCs w:val="22"/>
              </w:rPr>
              <w:t>No</w:t>
            </w:r>
          </w:p>
        </w:tc>
        <w:tc>
          <w:tcPr>
            <w:tcW w:w="1109" w:type="pct"/>
            <w:shd w:val="clear" w:color="auto" w:fill="FFFFFF" w:themeFill="background1"/>
          </w:tcPr>
          <w:p w14:paraId="6797F852" w14:textId="36B18DDA" w:rsidR="00B909F2" w:rsidRPr="00D02B91" w:rsidRDefault="00B909F2" w:rsidP="00B909F2">
            <w:pPr>
              <w:jc w:val="center"/>
              <w:rPr>
                <w:rFonts w:ascii="Arial Narrow" w:hAnsi="Arial Narrow"/>
                <w:b/>
              </w:rPr>
            </w:pPr>
          </w:p>
        </w:tc>
        <w:tc>
          <w:tcPr>
            <w:tcW w:w="474" w:type="pct"/>
            <w:shd w:val="clear" w:color="auto" w:fill="FFFFFF" w:themeFill="background1"/>
          </w:tcPr>
          <w:p w14:paraId="4C1E4CA3" w14:textId="4E23AAD6" w:rsidR="00B909F2" w:rsidRPr="00D02B91" w:rsidRDefault="00B909F2" w:rsidP="00523115">
            <w:pPr>
              <w:jc w:val="center"/>
              <w:rPr>
                <w:rFonts w:ascii="Arial Narrow" w:hAnsi="Arial Narrow"/>
                <w:b/>
                <w:sz w:val="22"/>
                <w:szCs w:val="22"/>
              </w:rPr>
            </w:pPr>
          </w:p>
        </w:tc>
      </w:tr>
      <w:tr w:rsidR="00B909F2" w:rsidRPr="00D02B91" w14:paraId="360AD125" w14:textId="77777777" w:rsidTr="00941E4B">
        <w:trPr>
          <w:cantSplit/>
          <w:trHeight w:val="318"/>
          <w:jc w:val="center"/>
        </w:trPr>
        <w:tc>
          <w:tcPr>
            <w:tcW w:w="246" w:type="pct"/>
            <w:shd w:val="clear" w:color="auto" w:fill="FFFFFF" w:themeFill="background1"/>
          </w:tcPr>
          <w:p w14:paraId="5D3D5C67" w14:textId="545767F9" w:rsidR="00B909F2" w:rsidRPr="00D02B91" w:rsidRDefault="00941E4B" w:rsidP="00523115">
            <w:pPr>
              <w:jc w:val="center"/>
              <w:rPr>
                <w:rFonts w:ascii="Arial Narrow" w:hAnsi="Arial Narrow"/>
                <w:b/>
                <w:sz w:val="22"/>
                <w:szCs w:val="22"/>
              </w:rPr>
            </w:pPr>
            <w:r w:rsidRPr="00D02B91">
              <w:rPr>
                <w:rFonts w:ascii="Arial Narrow" w:hAnsi="Arial Narrow"/>
                <w:b/>
                <w:sz w:val="22"/>
                <w:szCs w:val="22"/>
              </w:rPr>
              <w:t>6</w:t>
            </w:r>
          </w:p>
        </w:tc>
        <w:tc>
          <w:tcPr>
            <w:tcW w:w="544" w:type="pct"/>
            <w:shd w:val="clear" w:color="auto" w:fill="FFFFFF" w:themeFill="background1"/>
          </w:tcPr>
          <w:p w14:paraId="160EC598" w14:textId="6DE99D57"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January 202</w:t>
            </w:r>
            <w:r w:rsidR="00D02B91" w:rsidRPr="00D02B91">
              <w:rPr>
                <w:rFonts w:ascii="Arial Narrow" w:hAnsi="Arial Narrow"/>
                <w:b/>
                <w:sz w:val="22"/>
                <w:szCs w:val="22"/>
              </w:rPr>
              <w:t>7</w:t>
            </w:r>
          </w:p>
        </w:tc>
        <w:tc>
          <w:tcPr>
            <w:tcW w:w="1140" w:type="pct"/>
            <w:shd w:val="clear" w:color="auto" w:fill="FFFFFF" w:themeFill="background1"/>
          </w:tcPr>
          <w:p w14:paraId="61439565" w14:textId="231D95CC"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 EUMOFA’s EU Fish Market Report</w:t>
            </w:r>
          </w:p>
          <w:p w14:paraId="51AD51FE" w14:textId="024CBB17"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w:t>
            </w:r>
            <w:r w:rsidR="0000319F">
              <w:rPr>
                <w:rFonts w:ascii="Arial Narrow" w:hAnsi="Arial Narrow"/>
                <w:b/>
                <w:sz w:val="22"/>
                <w:szCs w:val="22"/>
              </w:rPr>
              <w:t xml:space="preserve"> Traceability</w:t>
            </w:r>
          </w:p>
          <w:p w14:paraId="4FBF1A74" w14:textId="7B84A703" w:rsidR="00B909F2" w:rsidRPr="00D02B91" w:rsidRDefault="00B909F2" w:rsidP="008607BA">
            <w:pPr>
              <w:jc w:val="center"/>
              <w:rPr>
                <w:rFonts w:ascii="Arial Narrow" w:hAnsi="Arial Narrow"/>
                <w:b/>
                <w:sz w:val="22"/>
                <w:szCs w:val="22"/>
              </w:rPr>
            </w:pPr>
          </w:p>
        </w:tc>
        <w:tc>
          <w:tcPr>
            <w:tcW w:w="842" w:type="pct"/>
            <w:shd w:val="clear" w:color="auto" w:fill="FFFFFF" w:themeFill="background1"/>
          </w:tcPr>
          <w:p w14:paraId="0F866E73" w14:textId="33344C3D" w:rsidR="00B909F2" w:rsidRPr="00D02B91" w:rsidRDefault="00B909F2" w:rsidP="00B909F2">
            <w:pPr>
              <w:jc w:val="center"/>
              <w:rPr>
                <w:rFonts w:ascii="Arial Narrow" w:hAnsi="Arial Narrow"/>
                <w:b/>
                <w:sz w:val="22"/>
                <w:szCs w:val="22"/>
              </w:rPr>
            </w:pPr>
            <w:r w:rsidRPr="00D02B91">
              <w:rPr>
                <w:rFonts w:ascii="Arial Narrow" w:hAnsi="Arial Narrow"/>
                <w:b/>
                <w:sz w:val="22"/>
                <w:szCs w:val="22"/>
              </w:rPr>
              <w:t xml:space="preserve">Working Group 2 </w:t>
            </w:r>
          </w:p>
          <w:p w14:paraId="7166C3DB" w14:textId="0AF36D89" w:rsidR="00B909F2" w:rsidRPr="00D02B91" w:rsidRDefault="00B909F2" w:rsidP="00B909F2">
            <w:pPr>
              <w:jc w:val="center"/>
              <w:rPr>
                <w:rFonts w:ascii="Arial Narrow" w:hAnsi="Arial Narrow"/>
                <w:b/>
                <w:sz w:val="22"/>
                <w:szCs w:val="22"/>
              </w:rPr>
            </w:pPr>
            <w:r w:rsidRPr="00D02B91">
              <w:rPr>
                <w:rFonts w:ascii="Arial Narrow" w:hAnsi="Arial Narrow"/>
                <w:b/>
                <w:sz w:val="22"/>
                <w:szCs w:val="22"/>
              </w:rPr>
              <w:t>Physical (</w:t>
            </w:r>
            <w:r w:rsidR="001F09E8">
              <w:rPr>
                <w:rFonts w:ascii="Arial Narrow" w:hAnsi="Arial Narrow"/>
                <w:b/>
                <w:sz w:val="22"/>
                <w:szCs w:val="22"/>
              </w:rPr>
              <w:t>Brussels</w:t>
            </w:r>
            <w:r w:rsidRPr="00D02B91">
              <w:rPr>
                <w:rFonts w:ascii="Arial Narrow" w:hAnsi="Arial Narrow"/>
                <w:b/>
                <w:sz w:val="22"/>
                <w:szCs w:val="22"/>
              </w:rPr>
              <w:t>)</w:t>
            </w:r>
          </w:p>
        </w:tc>
        <w:tc>
          <w:tcPr>
            <w:tcW w:w="644" w:type="pct"/>
            <w:shd w:val="clear" w:color="auto" w:fill="FFFFFF" w:themeFill="background1"/>
          </w:tcPr>
          <w:p w14:paraId="0E74A218" w14:textId="1D422577"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23ABFF39" w14:textId="77777777" w:rsidR="008607BA" w:rsidRDefault="008607BA" w:rsidP="008607BA">
            <w:pPr>
              <w:jc w:val="center"/>
              <w:rPr>
                <w:rFonts w:ascii="Arial Narrow" w:hAnsi="Arial Narrow"/>
                <w:b/>
                <w:bCs/>
                <w:sz w:val="22"/>
                <w:szCs w:val="22"/>
              </w:rPr>
            </w:pPr>
            <w:r w:rsidRPr="00D02B91">
              <w:rPr>
                <w:rFonts w:ascii="Arial Narrow" w:hAnsi="Arial Narrow"/>
                <w:b/>
                <w:bCs/>
                <w:sz w:val="22"/>
                <w:szCs w:val="22"/>
              </w:rPr>
              <w:t>- Presentation of EUMOFA EU Fish Market</w:t>
            </w:r>
          </w:p>
          <w:p w14:paraId="4F7852C0" w14:textId="19C30251" w:rsidR="0000319F" w:rsidRPr="00D02B91" w:rsidRDefault="0000319F" w:rsidP="008607BA">
            <w:pPr>
              <w:jc w:val="center"/>
              <w:rPr>
                <w:rFonts w:ascii="Arial Narrow" w:hAnsi="Arial Narrow"/>
                <w:b/>
                <w:bCs/>
                <w:sz w:val="22"/>
                <w:szCs w:val="22"/>
              </w:rPr>
            </w:pPr>
            <w:r>
              <w:rPr>
                <w:rFonts w:ascii="Arial Narrow" w:hAnsi="Arial Narrow"/>
                <w:b/>
                <w:bCs/>
                <w:sz w:val="22"/>
                <w:szCs w:val="22"/>
              </w:rPr>
              <w:t>- Presentation of the study on prepared and preserved products</w:t>
            </w:r>
          </w:p>
          <w:p w14:paraId="2B7B3E2C" w14:textId="45CD9973" w:rsidR="00B909F2" w:rsidRPr="00D02B91" w:rsidRDefault="00B909F2" w:rsidP="008607BA">
            <w:pPr>
              <w:jc w:val="center"/>
              <w:rPr>
                <w:rFonts w:ascii="Arial Narrow" w:hAnsi="Arial Narrow"/>
                <w:b/>
                <w:sz w:val="22"/>
                <w:szCs w:val="22"/>
              </w:rPr>
            </w:pPr>
          </w:p>
        </w:tc>
        <w:tc>
          <w:tcPr>
            <w:tcW w:w="474" w:type="pct"/>
            <w:shd w:val="clear" w:color="auto" w:fill="FFFFFF" w:themeFill="background1"/>
          </w:tcPr>
          <w:p w14:paraId="320CF474" w14:textId="0DA3FB22"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2</w:t>
            </w:r>
          </w:p>
        </w:tc>
      </w:tr>
      <w:tr w:rsidR="00B909F2" w:rsidRPr="00D02B91" w14:paraId="34742A89" w14:textId="77777777" w:rsidTr="00941E4B">
        <w:trPr>
          <w:cantSplit/>
          <w:trHeight w:val="318"/>
          <w:jc w:val="center"/>
        </w:trPr>
        <w:tc>
          <w:tcPr>
            <w:tcW w:w="246" w:type="pct"/>
            <w:shd w:val="clear" w:color="auto" w:fill="FFFFFF" w:themeFill="background1"/>
          </w:tcPr>
          <w:p w14:paraId="767FCAC3" w14:textId="09F8969A" w:rsidR="00B909F2" w:rsidRPr="00D02B91" w:rsidRDefault="00941E4B" w:rsidP="00523115">
            <w:pPr>
              <w:jc w:val="center"/>
              <w:rPr>
                <w:rFonts w:ascii="Arial Narrow" w:hAnsi="Arial Narrow"/>
                <w:b/>
                <w:sz w:val="22"/>
                <w:szCs w:val="22"/>
              </w:rPr>
            </w:pPr>
            <w:r w:rsidRPr="00D02B91">
              <w:rPr>
                <w:rFonts w:ascii="Arial Narrow" w:hAnsi="Arial Narrow"/>
                <w:b/>
                <w:sz w:val="22"/>
                <w:szCs w:val="22"/>
              </w:rPr>
              <w:t>7</w:t>
            </w:r>
          </w:p>
        </w:tc>
        <w:tc>
          <w:tcPr>
            <w:tcW w:w="544" w:type="pct"/>
            <w:shd w:val="clear" w:color="auto" w:fill="FFFFFF" w:themeFill="background1"/>
          </w:tcPr>
          <w:p w14:paraId="1F928C35" w14:textId="387D6A42"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January 202</w:t>
            </w:r>
            <w:r w:rsidR="00D02B91" w:rsidRPr="00D02B91">
              <w:rPr>
                <w:rFonts w:ascii="Arial Narrow" w:hAnsi="Arial Narrow"/>
                <w:b/>
                <w:sz w:val="22"/>
                <w:szCs w:val="22"/>
              </w:rPr>
              <w:t>7</w:t>
            </w:r>
          </w:p>
        </w:tc>
        <w:tc>
          <w:tcPr>
            <w:tcW w:w="1140" w:type="pct"/>
            <w:shd w:val="clear" w:color="auto" w:fill="FFFFFF" w:themeFill="background1"/>
          </w:tcPr>
          <w:p w14:paraId="5419A059" w14:textId="3E65E4C1" w:rsidR="00B909F2" w:rsidRPr="00D02B91" w:rsidRDefault="008607BA" w:rsidP="008607BA">
            <w:pPr>
              <w:jc w:val="center"/>
              <w:rPr>
                <w:rFonts w:ascii="Arial Narrow" w:hAnsi="Arial Narrow"/>
                <w:b/>
                <w:sz w:val="22"/>
                <w:szCs w:val="22"/>
              </w:rPr>
            </w:pPr>
            <w:r w:rsidRPr="00D02B91">
              <w:rPr>
                <w:rFonts w:ascii="Arial Narrow" w:hAnsi="Arial Narrow"/>
                <w:b/>
                <w:sz w:val="22"/>
                <w:szCs w:val="22"/>
              </w:rPr>
              <w:t xml:space="preserve">- </w:t>
            </w:r>
            <w:r w:rsidR="00C150CC" w:rsidRPr="00D02B91">
              <w:rPr>
                <w:rFonts w:ascii="Arial Narrow" w:hAnsi="Arial Narrow"/>
                <w:b/>
                <w:sz w:val="22"/>
                <w:szCs w:val="22"/>
              </w:rPr>
              <w:t>Consumer information</w:t>
            </w:r>
          </w:p>
        </w:tc>
        <w:tc>
          <w:tcPr>
            <w:tcW w:w="842" w:type="pct"/>
            <w:shd w:val="clear" w:color="auto" w:fill="FFFFFF" w:themeFill="background1"/>
          </w:tcPr>
          <w:p w14:paraId="3315E3D1" w14:textId="77777777" w:rsidR="00B909F2" w:rsidRPr="00D02B91" w:rsidRDefault="00B909F2" w:rsidP="00B909F2">
            <w:pPr>
              <w:jc w:val="center"/>
              <w:rPr>
                <w:rFonts w:ascii="Arial Narrow" w:hAnsi="Arial Narrow"/>
                <w:b/>
                <w:sz w:val="22"/>
                <w:szCs w:val="22"/>
              </w:rPr>
            </w:pPr>
            <w:r w:rsidRPr="00D02B91">
              <w:rPr>
                <w:rFonts w:ascii="Arial Narrow" w:hAnsi="Arial Narrow"/>
                <w:b/>
                <w:sz w:val="22"/>
                <w:szCs w:val="22"/>
              </w:rPr>
              <w:t xml:space="preserve">Working Group 3 </w:t>
            </w:r>
          </w:p>
          <w:p w14:paraId="76296107" w14:textId="0D0765FD" w:rsidR="00B909F2" w:rsidRPr="00D02B91" w:rsidRDefault="00B909F2" w:rsidP="00B909F2">
            <w:pPr>
              <w:jc w:val="center"/>
              <w:rPr>
                <w:rFonts w:ascii="Arial Narrow" w:hAnsi="Arial Narrow"/>
                <w:b/>
                <w:sz w:val="22"/>
                <w:szCs w:val="22"/>
              </w:rPr>
            </w:pPr>
            <w:r w:rsidRPr="00D02B91">
              <w:rPr>
                <w:rFonts w:ascii="Arial Narrow" w:hAnsi="Arial Narrow"/>
                <w:b/>
                <w:sz w:val="22"/>
                <w:szCs w:val="22"/>
              </w:rPr>
              <w:t>Physical (</w:t>
            </w:r>
            <w:r w:rsidR="001F09E8">
              <w:rPr>
                <w:rFonts w:ascii="Arial Narrow" w:hAnsi="Arial Narrow"/>
                <w:b/>
                <w:sz w:val="22"/>
                <w:szCs w:val="22"/>
              </w:rPr>
              <w:t>Brussels</w:t>
            </w:r>
            <w:r w:rsidRPr="00D02B91">
              <w:rPr>
                <w:rFonts w:ascii="Arial Narrow" w:hAnsi="Arial Narrow"/>
                <w:b/>
                <w:sz w:val="22"/>
                <w:szCs w:val="22"/>
              </w:rPr>
              <w:t>)</w:t>
            </w:r>
          </w:p>
        </w:tc>
        <w:tc>
          <w:tcPr>
            <w:tcW w:w="644" w:type="pct"/>
            <w:shd w:val="clear" w:color="auto" w:fill="FFFFFF" w:themeFill="background1"/>
          </w:tcPr>
          <w:p w14:paraId="2C7C3C8F" w14:textId="6F10F3DF" w:rsidR="00B909F2" w:rsidRPr="00D02B91" w:rsidRDefault="003A0139" w:rsidP="00523115">
            <w:pPr>
              <w:jc w:val="center"/>
              <w:rPr>
                <w:rFonts w:ascii="Arial Narrow" w:hAnsi="Arial Narrow"/>
                <w:b/>
                <w:sz w:val="22"/>
                <w:szCs w:val="22"/>
              </w:rPr>
            </w:pPr>
            <w:r w:rsidRPr="00D02B91">
              <w:rPr>
                <w:rFonts w:ascii="Arial Narrow" w:hAnsi="Arial Narrow"/>
                <w:b/>
                <w:sz w:val="22"/>
                <w:szCs w:val="22"/>
              </w:rPr>
              <w:t>No</w:t>
            </w:r>
          </w:p>
        </w:tc>
        <w:tc>
          <w:tcPr>
            <w:tcW w:w="1109" w:type="pct"/>
            <w:shd w:val="clear" w:color="auto" w:fill="FFFFFF" w:themeFill="background1"/>
          </w:tcPr>
          <w:p w14:paraId="352C0CE5" w14:textId="40EE9CF5" w:rsidR="00B909F2" w:rsidRPr="00D02B91" w:rsidRDefault="00B909F2" w:rsidP="008607BA">
            <w:pPr>
              <w:jc w:val="center"/>
              <w:rPr>
                <w:rFonts w:ascii="Arial Narrow" w:hAnsi="Arial Narrow"/>
                <w:b/>
                <w:sz w:val="22"/>
                <w:szCs w:val="22"/>
              </w:rPr>
            </w:pPr>
          </w:p>
        </w:tc>
        <w:tc>
          <w:tcPr>
            <w:tcW w:w="474" w:type="pct"/>
            <w:shd w:val="clear" w:color="auto" w:fill="FFFFFF" w:themeFill="background1"/>
          </w:tcPr>
          <w:p w14:paraId="75F789F3" w14:textId="786895E3" w:rsidR="00B909F2" w:rsidRPr="00D02B91" w:rsidRDefault="00B909F2" w:rsidP="00523115">
            <w:pPr>
              <w:jc w:val="center"/>
              <w:rPr>
                <w:rFonts w:ascii="Arial Narrow" w:hAnsi="Arial Narrow"/>
                <w:b/>
                <w:sz w:val="22"/>
                <w:szCs w:val="22"/>
              </w:rPr>
            </w:pPr>
          </w:p>
        </w:tc>
      </w:tr>
      <w:tr w:rsidR="00B909F2" w:rsidRPr="00D02B91" w14:paraId="7C643DEB" w14:textId="77777777" w:rsidTr="00941E4B">
        <w:trPr>
          <w:cantSplit/>
          <w:trHeight w:val="318"/>
          <w:jc w:val="center"/>
        </w:trPr>
        <w:tc>
          <w:tcPr>
            <w:tcW w:w="246" w:type="pct"/>
            <w:shd w:val="clear" w:color="auto" w:fill="FFFFFF" w:themeFill="background1"/>
          </w:tcPr>
          <w:p w14:paraId="51AB76BA" w14:textId="09AC47C4" w:rsidR="00B909F2" w:rsidRPr="00D02B91" w:rsidRDefault="00941E4B" w:rsidP="00523115">
            <w:pPr>
              <w:jc w:val="center"/>
              <w:rPr>
                <w:rFonts w:ascii="Arial Narrow" w:hAnsi="Arial Narrow"/>
                <w:b/>
                <w:sz w:val="22"/>
                <w:szCs w:val="22"/>
              </w:rPr>
            </w:pPr>
            <w:r w:rsidRPr="00D02B91">
              <w:rPr>
                <w:rFonts w:ascii="Arial Narrow" w:hAnsi="Arial Narrow"/>
                <w:b/>
                <w:sz w:val="22"/>
                <w:szCs w:val="22"/>
              </w:rPr>
              <w:lastRenderedPageBreak/>
              <w:t>8</w:t>
            </w:r>
          </w:p>
        </w:tc>
        <w:tc>
          <w:tcPr>
            <w:tcW w:w="544" w:type="pct"/>
            <w:shd w:val="clear" w:color="auto" w:fill="FFFFFF" w:themeFill="background1"/>
          </w:tcPr>
          <w:p w14:paraId="39F6A532" w14:textId="139B68C0" w:rsidR="00B909F2" w:rsidRPr="00D02B91" w:rsidRDefault="00B909F2" w:rsidP="00523115">
            <w:pPr>
              <w:jc w:val="center"/>
              <w:rPr>
                <w:rFonts w:ascii="Arial Narrow" w:hAnsi="Arial Narrow"/>
                <w:b/>
                <w:sz w:val="22"/>
                <w:szCs w:val="22"/>
              </w:rPr>
            </w:pPr>
            <w:r w:rsidRPr="00D02B91">
              <w:rPr>
                <w:rFonts w:ascii="Arial Narrow" w:hAnsi="Arial Narrow"/>
                <w:b/>
                <w:sz w:val="22"/>
                <w:szCs w:val="22"/>
              </w:rPr>
              <w:t>January 202</w:t>
            </w:r>
            <w:r w:rsidR="00D02B91" w:rsidRPr="00D02B91">
              <w:rPr>
                <w:rFonts w:ascii="Arial Narrow" w:hAnsi="Arial Narrow"/>
                <w:b/>
                <w:sz w:val="22"/>
                <w:szCs w:val="22"/>
              </w:rPr>
              <w:t>7</w:t>
            </w:r>
          </w:p>
        </w:tc>
        <w:tc>
          <w:tcPr>
            <w:tcW w:w="1140" w:type="pct"/>
            <w:shd w:val="clear" w:color="auto" w:fill="FFFFFF" w:themeFill="background1"/>
          </w:tcPr>
          <w:p w14:paraId="462C5105" w14:textId="1693C515" w:rsidR="009017DE" w:rsidRPr="00D168BF" w:rsidRDefault="00B909F2" w:rsidP="00D168BF">
            <w:pPr>
              <w:jc w:val="center"/>
              <w:rPr>
                <w:rFonts w:ascii="Arial Narrow" w:hAnsi="Arial Narrow"/>
                <w:b/>
                <w:sz w:val="22"/>
                <w:szCs w:val="22"/>
              </w:rPr>
            </w:pPr>
            <w:r w:rsidRPr="00D02B91">
              <w:rPr>
                <w:rFonts w:ascii="Arial Narrow" w:hAnsi="Arial Narrow"/>
                <w:b/>
                <w:sz w:val="22"/>
                <w:szCs w:val="22"/>
              </w:rPr>
              <w:t>- Formal approval of work programme &amp; budget</w:t>
            </w:r>
          </w:p>
        </w:tc>
        <w:tc>
          <w:tcPr>
            <w:tcW w:w="842" w:type="pct"/>
            <w:shd w:val="clear" w:color="auto" w:fill="FFFFFF" w:themeFill="background1"/>
          </w:tcPr>
          <w:p w14:paraId="3331BEF5" w14:textId="77777777" w:rsidR="00B909F2" w:rsidRPr="00D02B91" w:rsidRDefault="00B909F2" w:rsidP="00B909F2">
            <w:pPr>
              <w:jc w:val="center"/>
              <w:rPr>
                <w:rFonts w:ascii="Arial Narrow" w:hAnsi="Arial Narrow"/>
                <w:b/>
                <w:sz w:val="22"/>
                <w:szCs w:val="22"/>
              </w:rPr>
            </w:pPr>
            <w:r w:rsidRPr="00D02B91">
              <w:rPr>
                <w:rFonts w:ascii="Arial Narrow" w:hAnsi="Arial Narrow"/>
                <w:b/>
                <w:sz w:val="22"/>
                <w:szCs w:val="22"/>
              </w:rPr>
              <w:t>General Assembly</w:t>
            </w:r>
          </w:p>
          <w:p w14:paraId="2D2D0F33" w14:textId="64A8E41E" w:rsidR="00B909F2" w:rsidRPr="00D02B91" w:rsidRDefault="00B909F2" w:rsidP="00B909F2">
            <w:pPr>
              <w:jc w:val="center"/>
              <w:rPr>
                <w:rFonts w:ascii="Arial Narrow" w:hAnsi="Arial Narrow"/>
                <w:b/>
                <w:sz w:val="22"/>
                <w:szCs w:val="22"/>
              </w:rPr>
            </w:pPr>
            <w:r w:rsidRPr="00D02B91">
              <w:rPr>
                <w:rFonts w:ascii="Arial Narrow" w:hAnsi="Arial Narrow"/>
                <w:b/>
                <w:sz w:val="22"/>
                <w:szCs w:val="22"/>
              </w:rPr>
              <w:t>Physical (</w:t>
            </w:r>
            <w:r w:rsidR="001F09E8">
              <w:rPr>
                <w:rFonts w:ascii="Arial Narrow" w:hAnsi="Arial Narrow"/>
                <w:b/>
                <w:sz w:val="22"/>
                <w:szCs w:val="22"/>
              </w:rPr>
              <w:t>Brussels</w:t>
            </w:r>
            <w:r w:rsidRPr="00D02B91">
              <w:rPr>
                <w:rFonts w:ascii="Arial Narrow" w:hAnsi="Arial Narrow"/>
                <w:b/>
                <w:sz w:val="22"/>
                <w:szCs w:val="22"/>
              </w:rPr>
              <w:t>)</w:t>
            </w:r>
          </w:p>
        </w:tc>
        <w:tc>
          <w:tcPr>
            <w:tcW w:w="644" w:type="pct"/>
            <w:shd w:val="clear" w:color="auto" w:fill="FFFFFF" w:themeFill="background1"/>
          </w:tcPr>
          <w:p w14:paraId="34ACDDF6" w14:textId="39F16147" w:rsidR="00B909F2" w:rsidRPr="00D02B91" w:rsidRDefault="008607BA" w:rsidP="00523115">
            <w:pPr>
              <w:jc w:val="center"/>
              <w:rPr>
                <w:rFonts w:ascii="Arial Narrow" w:hAnsi="Arial Narrow"/>
                <w:b/>
                <w:sz w:val="22"/>
                <w:szCs w:val="22"/>
              </w:rPr>
            </w:pPr>
            <w:r w:rsidRPr="00D02B91">
              <w:rPr>
                <w:rFonts w:ascii="Arial Narrow" w:hAnsi="Arial Narrow"/>
                <w:b/>
                <w:sz w:val="22"/>
                <w:szCs w:val="22"/>
              </w:rPr>
              <w:t>No</w:t>
            </w:r>
          </w:p>
        </w:tc>
        <w:tc>
          <w:tcPr>
            <w:tcW w:w="1109" w:type="pct"/>
            <w:shd w:val="clear" w:color="auto" w:fill="FFFFFF" w:themeFill="background1"/>
          </w:tcPr>
          <w:p w14:paraId="66CBF650" w14:textId="77777777" w:rsidR="00B909F2" w:rsidRPr="00D02B91" w:rsidRDefault="00B909F2" w:rsidP="00B909F2">
            <w:pPr>
              <w:jc w:val="center"/>
              <w:rPr>
                <w:rFonts w:ascii="Arial Narrow" w:hAnsi="Arial Narrow"/>
                <w:b/>
                <w:sz w:val="22"/>
                <w:szCs w:val="22"/>
              </w:rPr>
            </w:pPr>
          </w:p>
        </w:tc>
        <w:tc>
          <w:tcPr>
            <w:tcW w:w="474" w:type="pct"/>
            <w:shd w:val="clear" w:color="auto" w:fill="FFFFFF" w:themeFill="background1"/>
          </w:tcPr>
          <w:p w14:paraId="39B553FF" w14:textId="77777777" w:rsidR="00B909F2" w:rsidRPr="00D02B91" w:rsidRDefault="00B909F2" w:rsidP="00523115">
            <w:pPr>
              <w:jc w:val="center"/>
              <w:rPr>
                <w:rFonts w:ascii="Arial Narrow" w:hAnsi="Arial Narrow"/>
                <w:b/>
                <w:sz w:val="22"/>
                <w:szCs w:val="22"/>
              </w:rPr>
            </w:pPr>
          </w:p>
        </w:tc>
      </w:tr>
      <w:tr w:rsidR="00B909F2" w:rsidRPr="00D02B91" w14:paraId="64D20A53" w14:textId="77777777" w:rsidTr="00941E4B">
        <w:trPr>
          <w:cantSplit/>
          <w:trHeight w:val="318"/>
          <w:jc w:val="center"/>
        </w:trPr>
        <w:tc>
          <w:tcPr>
            <w:tcW w:w="246" w:type="pct"/>
            <w:shd w:val="clear" w:color="auto" w:fill="FFFFFF" w:themeFill="background1"/>
          </w:tcPr>
          <w:p w14:paraId="66AD956A" w14:textId="7A9C0470" w:rsidR="00B909F2" w:rsidRPr="00D02B91" w:rsidRDefault="00941E4B" w:rsidP="00523115">
            <w:pPr>
              <w:jc w:val="center"/>
              <w:rPr>
                <w:rFonts w:ascii="Arial Narrow" w:hAnsi="Arial Narrow"/>
                <w:b/>
                <w:sz w:val="22"/>
                <w:szCs w:val="22"/>
              </w:rPr>
            </w:pPr>
            <w:r w:rsidRPr="00D02B91">
              <w:rPr>
                <w:rFonts w:ascii="Arial Narrow" w:hAnsi="Arial Narrow"/>
                <w:b/>
                <w:sz w:val="22"/>
                <w:szCs w:val="22"/>
              </w:rPr>
              <w:t>9</w:t>
            </w:r>
          </w:p>
        </w:tc>
        <w:tc>
          <w:tcPr>
            <w:tcW w:w="544" w:type="pct"/>
            <w:shd w:val="clear" w:color="auto" w:fill="FFFFFF" w:themeFill="background1"/>
          </w:tcPr>
          <w:p w14:paraId="2C49E73D" w14:textId="5AAC96F2" w:rsidR="00B909F2" w:rsidRPr="00D02B91" w:rsidRDefault="008607BA" w:rsidP="00523115">
            <w:pPr>
              <w:jc w:val="center"/>
              <w:rPr>
                <w:rFonts w:ascii="Arial Narrow" w:hAnsi="Arial Narrow"/>
                <w:b/>
                <w:sz w:val="22"/>
                <w:szCs w:val="22"/>
              </w:rPr>
            </w:pPr>
            <w:r w:rsidRPr="00D02B91">
              <w:rPr>
                <w:rFonts w:ascii="Arial Narrow" w:hAnsi="Arial Narrow"/>
                <w:b/>
                <w:sz w:val="22"/>
                <w:szCs w:val="22"/>
              </w:rPr>
              <w:t>January 202</w:t>
            </w:r>
            <w:r w:rsidR="00D02B91" w:rsidRPr="00D02B91">
              <w:rPr>
                <w:rFonts w:ascii="Arial Narrow" w:hAnsi="Arial Narrow"/>
                <w:b/>
                <w:sz w:val="22"/>
                <w:szCs w:val="22"/>
              </w:rPr>
              <w:t>7</w:t>
            </w:r>
          </w:p>
        </w:tc>
        <w:tc>
          <w:tcPr>
            <w:tcW w:w="1140" w:type="pct"/>
            <w:shd w:val="clear" w:color="auto" w:fill="FFFFFF" w:themeFill="background1"/>
          </w:tcPr>
          <w:p w14:paraId="2A38DFEF" w14:textId="77B2CC5E" w:rsidR="00B909F2" w:rsidRPr="00D02B91" w:rsidRDefault="008607BA" w:rsidP="008607BA">
            <w:pPr>
              <w:jc w:val="center"/>
              <w:rPr>
                <w:rFonts w:ascii="Arial Narrow" w:hAnsi="Arial Narrow"/>
                <w:b/>
                <w:sz w:val="22"/>
                <w:szCs w:val="22"/>
              </w:rPr>
            </w:pPr>
            <w:r w:rsidRPr="00D02B91">
              <w:rPr>
                <w:rFonts w:ascii="Arial Narrow" w:hAnsi="Arial Narrow"/>
                <w:b/>
                <w:sz w:val="22"/>
                <w:szCs w:val="22"/>
              </w:rPr>
              <w:t>- Adoption of advice</w:t>
            </w:r>
          </w:p>
        </w:tc>
        <w:tc>
          <w:tcPr>
            <w:tcW w:w="842" w:type="pct"/>
            <w:shd w:val="clear" w:color="auto" w:fill="FFFFFF" w:themeFill="background1"/>
          </w:tcPr>
          <w:p w14:paraId="41DD07CF" w14:textId="77777777" w:rsidR="00B909F2" w:rsidRPr="00D02B91" w:rsidRDefault="008607BA" w:rsidP="00B909F2">
            <w:pPr>
              <w:jc w:val="center"/>
              <w:rPr>
                <w:rFonts w:ascii="Arial Narrow" w:hAnsi="Arial Narrow"/>
                <w:b/>
                <w:sz w:val="22"/>
                <w:szCs w:val="22"/>
              </w:rPr>
            </w:pPr>
            <w:r w:rsidRPr="00D02B91">
              <w:rPr>
                <w:rFonts w:ascii="Arial Narrow" w:hAnsi="Arial Narrow"/>
                <w:b/>
                <w:sz w:val="22"/>
                <w:szCs w:val="22"/>
              </w:rPr>
              <w:t xml:space="preserve">Executive Committee </w:t>
            </w:r>
          </w:p>
          <w:p w14:paraId="62F3A652" w14:textId="7EA81325" w:rsidR="008607BA" w:rsidRPr="00D02B91" w:rsidRDefault="008607BA" w:rsidP="00B909F2">
            <w:pPr>
              <w:jc w:val="center"/>
              <w:rPr>
                <w:rFonts w:ascii="Arial Narrow" w:hAnsi="Arial Narrow"/>
                <w:b/>
                <w:sz w:val="22"/>
                <w:szCs w:val="22"/>
              </w:rPr>
            </w:pPr>
            <w:r w:rsidRPr="00D02B91">
              <w:rPr>
                <w:rFonts w:ascii="Arial Narrow" w:hAnsi="Arial Narrow"/>
                <w:b/>
                <w:sz w:val="22"/>
                <w:szCs w:val="22"/>
              </w:rPr>
              <w:t>Physical (Brussels)</w:t>
            </w:r>
          </w:p>
        </w:tc>
        <w:tc>
          <w:tcPr>
            <w:tcW w:w="644" w:type="pct"/>
            <w:shd w:val="clear" w:color="auto" w:fill="FFFFFF" w:themeFill="background1"/>
          </w:tcPr>
          <w:p w14:paraId="3840711B" w14:textId="6365B996" w:rsidR="00B909F2" w:rsidRPr="00D02B91" w:rsidRDefault="008607BA" w:rsidP="00523115">
            <w:pPr>
              <w:jc w:val="center"/>
              <w:rPr>
                <w:rFonts w:ascii="Arial Narrow" w:hAnsi="Arial Narrow"/>
                <w:b/>
                <w:sz w:val="22"/>
                <w:szCs w:val="22"/>
              </w:rPr>
            </w:pPr>
            <w:r w:rsidRPr="00D02B91">
              <w:rPr>
                <w:rFonts w:ascii="Arial Narrow" w:hAnsi="Arial Narrow"/>
                <w:b/>
                <w:sz w:val="22"/>
                <w:szCs w:val="22"/>
              </w:rPr>
              <w:t>No</w:t>
            </w:r>
          </w:p>
        </w:tc>
        <w:tc>
          <w:tcPr>
            <w:tcW w:w="1109" w:type="pct"/>
            <w:shd w:val="clear" w:color="auto" w:fill="FFFFFF" w:themeFill="background1"/>
          </w:tcPr>
          <w:p w14:paraId="1B3FE011" w14:textId="77777777" w:rsidR="00B909F2" w:rsidRPr="00D02B91" w:rsidRDefault="00B909F2" w:rsidP="00B909F2">
            <w:pPr>
              <w:jc w:val="center"/>
              <w:rPr>
                <w:rFonts w:ascii="Arial Narrow" w:hAnsi="Arial Narrow"/>
                <w:b/>
                <w:sz w:val="22"/>
                <w:szCs w:val="22"/>
              </w:rPr>
            </w:pPr>
          </w:p>
        </w:tc>
        <w:tc>
          <w:tcPr>
            <w:tcW w:w="474" w:type="pct"/>
            <w:shd w:val="clear" w:color="auto" w:fill="FFFFFF" w:themeFill="background1"/>
          </w:tcPr>
          <w:p w14:paraId="7C83BC0C" w14:textId="77777777" w:rsidR="00B909F2" w:rsidRPr="00D02B91" w:rsidRDefault="00B909F2" w:rsidP="00523115">
            <w:pPr>
              <w:jc w:val="center"/>
              <w:rPr>
                <w:rFonts w:ascii="Arial Narrow" w:hAnsi="Arial Narrow"/>
                <w:b/>
                <w:sz w:val="22"/>
                <w:szCs w:val="22"/>
              </w:rPr>
            </w:pPr>
          </w:p>
        </w:tc>
      </w:tr>
      <w:tr w:rsidR="008607BA" w:rsidRPr="00D02B91" w14:paraId="724DF1DC" w14:textId="77777777" w:rsidTr="00941E4B">
        <w:trPr>
          <w:cantSplit/>
          <w:trHeight w:val="318"/>
          <w:jc w:val="center"/>
        </w:trPr>
        <w:tc>
          <w:tcPr>
            <w:tcW w:w="246" w:type="pct"/>
            <w:shd w:val="clear" w:color="auto" w:fill="FFFFFF" w:themeFill="background1"/>
          </w:tcPr>
          <w:p w14:paraId="54CD6ADF" w14:textId="5676756E" w:rsidR="008607BA" w:rsidRPr="00D02B91" w:rsidRDefault="00941E4B" w:rsidP="00523115">
            <w:pPr>
              <w:jc w:val="center"/>
              <w:rPr>
                <w:rFonts w:ascii="Arial Narrow" w:hAnsi="Arial Narrow"/>
                <w:b/>
                <w:sz w:val="22"/>
                <w:szCs w:val="22"/>
              </w:rPr>
            </w:pPr>
            <w:r w:rsidRPr="00D02B91">
              <w:rPr>
                <w:rFonts w:ascii="Arial Narrow" w:hAnsi="Arial Narrow"/>
                <w:b/>
                <w:sz w:val="22"/>
                <w:szCs w:val="22"/>
              </w:rPr>
              <w:t>10</w:t>
            </w:r>
          </w:p>
        </w:tc>
        <w:tc>
          <w:tcPr>
            <w:tcW w:w="544" w:type="pct"/>
            <w:shd w:val="clear" w:color="auto" w:fill="FFFFFF" w:themeFill="background1"/>
          </w:tcPr>
          <w:p w14:paraId="6789C619" w14:textId="507D1F85"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March 202</w:t>
            </w:r>
            <w:r w:rsidR="00D02B91" w:rsidRPr="00D02B91">
              <w:rPr>
                <w:rFonts w:ascii="Arial Narrow" w:hAnsi="Arial Narrow"/>
                <w:b/>
                <w:sz w:val="22"/>
                <w:szCs w:val="22"/>
              </w:rPr>
              <w:t>7</w:t>
            </w:r>
          </w:p>
        </w:tc>
        <w:tc>
          <w:tcPr>
            <w:tcW w:w="1140" w:type="pct"/>
            <w:shd w:val="clear" w:color="auto" w:fill="FFFFFF" w:themeFill="background1"/>
          </w:tcPr>
          <w:p w14:paraId="2B81AC29" w14:textId="26AAE467"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 xml:space="preserve">- </w:t>
            </w:r>
            <w:r w:rsidR="009017DE" w:rsidRPr="00D02B91">
              <w:rPr>
                <w:rFonts w:ascii="Arial Narrow" w:hAnsi="Arial Narrow"/>
                <w:b/>
                <w:sz w:val="22"/>
                <w:szCs w:val="22"/>
              </w:rPr>
              <w:t>Work Programme of EUMOFA</w:t>
            </w:r>
          </w:p>
        </w:tc>
        <w:tc>
          <w:tcPr>
            <w:tcW w:w="842" w:type="pct"/>
            <w:shd w:val="clear" w:color="auto" w:fill="FFFFFF" w:themeFill="background1"/>
          </w:tcPr>
          <w:p w14:paraId="38E43ED5" w14:textId="77777777" w:rsidR="008607BA" w:rsidRPr="00D02B91" w:rsidRDefault="008607BA" w:rsidP="00B909F2">
            <w:pPr>
              <w:jc w:val="center"/>
              <w:rPr>
                <w:rFonts w:ascii="Arial Narrow" w:hAnsi="Arial Narrow"/>
                <w:b/>
                <w:sz w:val="22"/>
                <w:szCs w:val="22"/>
              </w:rPr>
            </w:pPr>
            <w:r w:rsidRPr="00D02B91">
              <w:rPr>
                <w:rFonts w:ascii="Arial Narrow" w:hAnsi="Arial Narrow"/>
                <w:b/>
                <w:sz w:val="22"/>
                <w:szCs w:val="22"/>
              </w:rPr>
              <w:t xml:space="preserve">Working Group 1 </w:t>
            </w:r>
          </w:p>
          <w:p w14:paraId="28B67D22" w14:textId="15EDA3A8" w:rsidR="008607BA" w:rsidRPr="00D02B91" w:rsidRDefault="008607BA" w:rsidP="00B909F2">
            <w:pPr>
              <w:jc w:val="center"/>
              <w:rPr>
                <w:rFonts w:ascii="Arial Narrow" w:hAnsi="Arial Narrow"/>
                <w:b/>
                <w:sz w:val="22"/>
                <w:szCs w:val="22"/>
              </w:rPr>
            </w:pPr>
            <w:r w:rsidRPr="00D02B91">
              <w:rPr>
                <w:rFonts w:ascii="Arial Narrow" w:hAnsi="Arial Narrow"/>
                <w:b/>
                <w:sz w:val="22"/>
                <w:szCs w:val="22"/>
              </w:rPr>
              <w:t>Online (Zoom)</w:t>
            </w:r>
          </w:p>
        </w:tc>
        <w:tc>
          <w:tcPr>
            <w:tcW w:w="644" w:type="pct"/>
            <w:shd w:val="clear" w:color="auto" w:fill="FFFFFF" w:themeFill="background1"/>
          </w:tcPr>
          <w:p w14:paraId="7BEB4BD4" w14:textId="689BACC3"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0CC8F2FD" w14:textId="57E6204F" w:rsidR="008607BA" w:rsidRPr="00D02B91" w:rsidRDefault="009017DE" w:rsidP="009017DE">
            <w:pPr>
              <w:jc w:val="center"/>
              <w:rPr>
                <w:rFonts w:ascii="Arial Narrow" w:hAnsi="Arial Narrow"/>
                <w:b/>
                <w:sz w:val="22"/>
                <w:szCs w:val="22"/>
              </w:rPr>
            </w:pPr>
            <w:r w:rsidRPr="00D02B91">
              <w:rPr>
                <w:rFonts w:ascii="Arial Narrow" w:hAnsi="Arial Narrow"/>
                <w:b/>
                <w:sz w:val="22"/>
                <w:szCs w:val="22"/>
              </w:rPr>
              <w:t>- Presentation of the Work Programme of EUMOFA</w:t>
            </w:r>
          </w:p>
        </w:tc>
        <w:tc>
          <w:tcPr>
            <w:tcW w:w="474" w:type="pct"/>
            <w:shd w:val="clear" w:color="auto" w:fill="FFFFFF" w:themeFill="background1"/>
          </w:tcPr>
          <w:p w14:paraId="141E87D7" w14:textId="373FAC20"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2</w:t>
            </w:r>
          </w:p>
        </w:tc>
      </w:tr>
      <w:tr w:rsidR="008607BA" w:rsidRPr="00D02B91" w14:paraId="312BE16E" w14:textId="77777777" w:rsidTr="00941E4B">
        <w:trPr>
          <w:cantSplit/>
          <w:trHeight w:val="318"/>
          <w:jc w:val="center"/>
        </w:trPr>
        <w:tc>
          <w:tcPr>
            <w:tcW w:w="246" w:type="pct"/>
            <w:shd w:val="clear" w:color="auto" w:fill="FFFFFF" w:themeFill="background1"/>
          </w:tcPr>
          <w:p w14:paraId="0DD638AC" w14:textId="396859BE" w:rsidR="008607BA" w:rsidRPr="00D02B91" w:rsidRDefault="00C516EB" w:rsidP="00523115">
            <w:pPr>
              <w:jc w:val="center"/>
              <w:rPr>
                <w:rFonts w:ascii="Arial Narrow" w:hAnsi="Arial Narrow"/>
                <w:b/>
                <w:sz w:val="22"/>
                <w:szCs w:val="22"/>
              </w:rPr>
            </w:pPr>
            <w:r w:rsidRPr="00D02B91">
              <w:rPr>
                <w:rFonts w:ascii="Arial Narrow" w:hAnsi="Arial Narrow"/>
                <w:b/>
                <w:sz w:val="22"/>
                <w:szCs w:val="22"/>
              </w:rPr>
              <w:t>11</w:t>
            </w:r>
          </w:p>
        </w:tc>
        <w:tc>
          <w:tcPr>
            <w:tcW w:w="544" w:type="pct"/>
            <w:shd w:val="clear" w:color="auto" w:fill="FFFFFF" w:themeFill="background1"/>
          </w:tcPr>
          <w:p w14:paraId="6E48C66B" w14:textId="090AB557"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March 202</w:t>
            </w:r>
            <w:r w:rsidR="00D02B91" w:rsidRPr="00D02B91">
              <w:rPr>
                <w:rFonts w:ascii="Arial Narrow" w:hAnsi="Arial Narrow"/>
                <w:b/>
                <w:sz w:val="22"/>
                <w:szCs w:val="22"/>
              </w:rPr>
              <w:t>7</w:t>
            </w:r>
          </w:p>
        </w:tc>
        <w:tc>
          <w:tcPr>
            <w:tcW w:w="1140" w:type="pct"/>
            <w:shd w:val="clear" w:color="auto" w:fill="FFFFFF" w:themeFill="background1"/>
          </w:tcPr>
          <w:p w14:paraId="4BBB66CF" w14:textId="77777777" w:rsidR="008607BA" w:rsidRPr="00D02B91" w:rsidRDefault="001D5ABF" w:rsidP="001D5ABF">
            <w:pPr>
              <w:jc w:val="center"/>
              <w:rPr>
                <w:rFonts w:ascii="Arial Narrow" w:hAnsi="Arial Narrow"/>
                <w:b/>
                <w:sz w:val="22"/>
                <w:szCs w:val="22"/>
              </w:rPr>
            </w:pPr>
            <w:r w:rsidRPr="00D02B91">
              <w:rPr>
                <w:rFonts w:ascii="Arial Narrow" w:hAnsi="Arial Narrow"/>
                <w:b/>
                <w:sz w:val="22"/>
                <w:szCs w:val="22"/>
              </w:rPr>
              <w:t>- Trade</w:t>
            </w:r>
          </w:p>
          <w:p w14:paraId="78F0EFF4" w14:textId="3B438A92" w:rsidR="009017DE" w:rsidRPr="00D02B91" w:rsidRDefault="001D5ABF" w:rsidP="00D168BF">
            <w:pPr>
              <w:jc w:val="center"/>
              <w:rPr>
                <w:rFonts w:ascii="Arial Narrow" w:hAnsi="Arial Narrow"/>
                <w:b/>
                <w:sz w:val="22"/>
                <w:szCs w:val="22"/>
              </w:rPr>
            </w:pPr>
            <w:r w:rsidRPr="00D02B91">
              <w:rPr>
                <w:rFonts w:ascii="Arial Narrow" w:hAnsi="Arial Narrow"/>
                <w:b/>
                <w:sz w:val="22"/>
                <w:szCs w:val="22"/>
              </w:rPr>
              <w:t>- IUU Carding System</w:t>
            </w:r>
          </w:p>
        </w:tc>
        <w:tc>
          <w:tcPr>
            <w:tcW w:w="842" w:type="pct"/>
            <w:shd w:val="clear" w:color="auto" w:fill="FFFFFF" w:themeFill="background1"/>
          </w:tcPr>
          <w:p w14:paraId="503BA299" w14:textId="7227F278"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Working Group 2</w:t>
            </w:r>
          </w:p>
          <w:p w14:paraId="4E3251DC" w14:textId="1AD99583"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Online (Zoom)</w:t>
            </w:r>
          </w:p>
        </w:tc>
        <w:tc>
          <w:tcPr>
            <w:tcW w:w="644" w:type="pct"/>
            <w:shd w:val="clear" w:color="auto" w:fill="FFFFFF" w:themeFill="background1"/>
          </w:tcPr>
          <w:p w14:paraId="7B7B4640" w14:textId="1974333D"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4E308AC8" w14:textId="77777777" w:rsidR="001D5ABF" w:rsidRPr="00D02B91" w:rsidRDefault="001D5ABF" w:rsidP="001D5ABF">
            <w:pPr>
              <w:jc w:val="center"/>
              <w:rPr>
                <w:rFonts w:ascii="Arial Narrow" w:hAnsi="Arial Narrow"/>
                <w:b/>
                <w:bCs/>
                <w:sz w:val="22"/>
                <w:szCs w:val="22"/>
              </w:rPr>
            </w:pPr>
            <w:r w:rsidRPr="00D02B91">
              <w:rPr>
                <w:rFonts w:ascii="Arial Narrow" w:hAnsi="Arial Narrow"/>
                <w:b/>
                <w:bCs/>
                <w:sz w:val="22"/>
                <w:szCs w:val="22"/>
              </w:rPr>
              <w:t>- Update on trade developments</w:t>
            </w:r>
          </w:p>
          <w:p w14:paraId="43430394" w14:textId="1CDC6D29" w:rsidR="008607BA" w:rsidRPr="00D02B91" w:rsidRDefault="001D5ABF" w:rsidP="001D5ABF">
            <w:pPr>
              <w:jc w:val="center"/>
              <w:rPr>
                <w:rFonts w:ascii="Arial Narrow" w:hAnsi="Arial Narrow"/>
                <w:b/>
                <w:bCs/>
                <w:sz w:val="22"/>
                <w:szCs w:val="22"/>
              </w:rPr>
            </w:pPr>
            <w:r w:rsidRPr="00D02B91">
              <w:rPr>
                <w:rFonts w:ascii="Arial Narrow" w:hAnsi="Arial Narrow"/>
                <w:b/>
                <w:bCs/>
                <w:sz w:val="22"/>
                <w:szCs w:val="22"/>
              </w:rPr>
              <w:t>- Update on IUU carding system</w:t>
            </w:r>
          </w:p>
        </w:tc>
        <w:tc>
          <w:tcPr>
            <w:tcW w:w="474" w:type="pct"/>
            <w:shd w:val="clear" w:color="auto" w:fill="FFFFFF" w:themeFill="background1"/>
          </w:tcPr>
          <w:p w14:paraId="7CED2831" w14:textId="19DE63F5"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2</w:t>
            </w:r>
          </w:p>
        </w:tc>
      </w:tr>
      <w:tr w:rsidR="008607BA" w:rsidRPr="00D02B91" w14:paraId="08980773" w14:textId="77777777" w:rsidTr="00941E4B">
        <w:trPr>
          <w:cantSplit/>
          <w:trHeight w:val="318"/>
          <w:jc w:val="center"/>
        </w:trPr>
        <w:tc>
          <w:tcPr>
            <w:tcW w:w="246" w:type="pct"/>
            <w:shd w:val="clear" w:color="auto" w:fill="FFFFFF" w:themeFill="background1"/>
          </w:tcPr>
          <w:p w14:paraId="6CB3736B" w14:textId="56E16A0B" w:rsidR="008607BA" w:rsidRPr="00D02B91" w:rsidRDefault="00C516EB" w:rsidP="00523115">
            <w:pPr>
              <w:jc w:val="center"/>
              <w:rPr>
                <w:rFonts w:ascii="Arial Narrow" w:hAnsi="Arial Narrow"/>
                <w:b/>
                <w:sz w:val="22"/>
                <w:szCs w:val="22"/>
              </w:rPr>
            </w:pPr>
            <w:r w:rsidRPr="00D02B91">
              <w:rPr>
                <w:rFonts w:ascii="Arial Narrow" w:hAnsi="Arial Narrow"/>
                <w:b/>
                <w:sz w:val="22"/>
                <w:szCs w:val="22"/>
              </w:rPr>
              <w:t>12</w:t>
            </w:r>
          </w:p>
        </w:tc>
        <w:tc>
          <w:tcPr>
            <w:tcW w:w="544" w:type="pct"/>
            <w:shd w:val="clear" w:color="auto" w:fill="FFFFFF" w:themeFill="background1"/>
          </w:tcPr>
          <w:p w14:paraId="3B5FCD60" w14:textId="546C1BAD"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March 202</w:t>
            </w:r>
            <w:r w:rsidR="00D02B91" w:rsidRPr="00D02B91">
              <w:rPr>
                <w:rFonts w:ascii="Arial Narrow" w:hAnsi="Arial Narrow"/>
                <w:b/>
                <w:sz w:val="22"/>
                <w:szCs w:val="22"/>
              </w:rPr>
              <w:t>7</w:t>
            </w:r>
          </w:p>
        </w:tc>
        <w:tc>
          <w:tcPr>
            <w:tcW w:w="1140" w:type="pct"/>
            <w:shd w:val="clear" w:color="auto" w:fill="FFFFFF" w:themeFill="background1"/>
          </w:tcPr>
          <w:p w14:paraId="6556BF4E" w14:textId="2EADD727" w:rsidR="008607BA" w:rsidRPr="00D02B91" w:rsidRDefault="001D5ABF" w:rsidP="001D5ABF">
            <w:pPr>
              <w:jc w:val="center"/>
              <w:rPr>
                <w:rFonts w:ascii="Arial Narrow" w:hAnsi="Arial Narrow"/>
                <w:b/>
                <w:sz w:val="22"/>
                <w:szCs w:val="22"/>
              </w:rPr>
            </w:pPr>
            <w:r w:rsidRPr="00D02B91">
              <w:rPr>
                <w:rFonts w:ascii="Arial Narrow" w:hAnsi="Arial Narrow"/>
                <w:b/>
                <w:sz w:val="22"/>
                <w:szCs w:val="22"/>
              </w:rPr>
              <w:t xml:space="preserve">- </w:t>
            </w:r>
            <w:r w:rsidR="00C150CC" w:rsidRPr="00D02B91">
              <w:rPr>
                <w:rFonts w:ascii="Arial Narrow" w:hAnsi="Arial Narrow"/>
                <w:b/>
                <w:sz w:val="22"/>
                <w:szCs w:val="22"/>
              </w:rPr>
              <w:t>Common Fisheries Policy</w:t>
            </w:r>
          </w:p>
        </w:tc>
        <w:tc>
          <w:tcPr>
            <w:tcW w:w="842" w:type="pct"/>
            <w:shd w:val="clear" w:color="auto" w:fill="FFFFFF" w:themeFill="background1"/>
          </w:tcPr>
          <w:p w14:paraId="2D997154" w14:textId="77777777" w:rsidR="008607BA" w:rsidRPr="00D02B91" w:rsidRDefault="008607BA" w:rsidP="00B909F2">
            <w:pPr>
              <w:jc w:val="center"/>
              <w:rPr>
                <w:rFonts w:ascii="Arial Narrow" w:hAnsi="Arial Narrow"/>
                <w:b/>
                <w:sz w:val="22"/>
                <w:szCs w:val="22"/>
              </w:rPr>
            </w:pPr>
            <w:r w:rsidRPr="00D02B91">
              <w:rPr>
                <w:rFonts w:ascii="Arial Narrow" w:hAnsi="Arial Narrow"/>
                <w:b/>
                <w:sz w:val="22"/>
                <w:szCs w:val="22"/>
              </w:rPr>
              <w:t xml:space="preserve">Working Group 3 </w:t>
            </w:r>
          </w:p>
          <w:p w14:paraId="4BF5EE99" w14:textId="43DE2840" w:rsidR="008607BA" w:rsidRPr="00D02B91" w:rsidRDefault="008607BA" w:rsidP="00B909F2">
            <w:pPr>
              <w:jc w:val="center"/>
              <w:rPr>
                <w:rFonts w:ascii="Arial Narrow" w:hAnsi="Arial Narrow"/>
                <w:b/>
                <w:sz w:val="22"/>
                <w:szCs w:val="22"/>
              </w:rPr>
            </w:pPr>
            <w:r w:rsidRPr="00D02B91">
              <w:rPr>
                <w:rFonts w:ascii="Arial Narrow" w:hAnsi="Arial Narrow"/>
                <w:b/>
                <w:sz w:val="22"/>
                <w:szCs w:val="22"/>
              </w:rPr>
              <w:t>Online (Zoom)</w:t>
            </w:r>
          </w:p>
        </w:tc>
        <w:tc>
          <w:tcPr>
            <w:tcW w:w="644" w:type="pct"/>
            <w:shd w:val="clear" w:color="auto" w:fill="FFFFFF" w:themeFill="background1"/>
          </w:tcPr>
          <w:p w14:paraId="34CF4690" w14:textId="367C28EE"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0ED2DA22" w14:textId="7449ADE2" w:rsidR="008607BA" w:rsidRPr="00D02B91" w:rsidRDefault="001D5ABF" w:rsidP="001D5ABF">
            <w:pPr>
              <w:jc w:val="center"/>
              <w:rPr>
                <w:rFonts w:ascii="Arial Narrow" w:hAnsi="Arial Narrow"/>
                <w:b/>
                <w:sz w:val="22"/>
                <w:szCs w:val="22"/>
              </w:rPr>
            </w:pPr>
            <w:bookmarkStart w:id="9" w:name="_Hlk169083361"/>
            <w:r w:rsidRPr="00D02B91">
              <w:rPr>
                <w:rFonts w:ascii="Arial Narrow" w:hAnsi="Arial Narrow"/>
                <w:b/>
                <w:sz w:val="22"/>
                <w:szCs w:val="22"/>
              </w:rPr>
              <w:t xml:space="preserve">- </w:t>
            </w:r>
            <w:bookmarkEnd w:id="9"/>
            <w:r w:rsidR="00C150CC" w:rsidRPr="00D02B91">
              <w:rPr>
                <w:rFonts w:ascii="Arial Narrow" w:hAnsi="Arial Narrow"/>
                <w:b/>
                <w:sz w:val="22"/>
                <w:szCs w:val="22"/>
              </w:rPr>
              <w:t>Update on Common Fisheries Policy</w:t>
            </w:r>
          </w:p>
        </w:tc>
        <w:tc>
          <w:tcPr>
            <w:tcW w:w="474" w:type="pct"/>
            <w:shd w:val="clear" w:color="auto" w:fill="FFFFFF" w:themeFill="background1"/>
          </w:tcPr>
          <w:p w14:paraId="4A06F955" w14:textId="543AF718"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2</w:t>
            </w:r>
          </w:p>
        </w:tc>
      </w:tr>
      <w:tr w:rsidR="00B909F2" w:rsidRPr="00D02B91" w14:paraId="33BDB5A9" w14:textId="77777777" w:rsidTr="00941E4B">
        <w:trPr>
          <w:cantSplit/>
          <w:trHeight w:val="318"/>
          <w:jc w:val="center"/>
        </w:trPr>
        <w:tc>
          <w:tcPr>
            <w:tcW w:w="246" w:type="pct"/>
            <w:shd w:val="clear" w:color="auto" w:fill="FFFFFF" w:themeFill="background1"/>
          </w:tcPr>
          <w:p w14:paraId="071AC5B2" w14:textId="50B9C732" w:rsidR="00B909F2" w:rsidRPr="00D02B91" w:rsidRDefault="008607BA" w:rsidP="00523115">
            <w:pPr>
              <w:jc w:val="center"/>
              <w:rPr>
                <w:rFonts w:ascii="Arial Narrow" w:hAnsi="Arial Narrow"/>
                <w:b/>
                <w:sz w:val="22"/>
                <w:szCs w:val="22"/>
              </w:rPr>
            </w:pPr>
            <w:r w:rsidRPr="00D02B91">
              <w:rPr>
                <w:rFonts w:ascii="Arial Narrow" w:hAnsi="Arial Narrow"/>
                <w:b/>
                <w:sz w:val="22"/>
                <w:szCs w:val="22"/>
              </w:rPr>
              <w:t>1</w:t>
            </w:r>
            <w:r w:rsidR="00C516EB" w:rsidRPr="00D02B91">
              <w:rPr>
                <w:rFonts w:ascii="Arial Narrow" w:hAnsi="Arial Narrow"/>
                <w:b/>
                <w:sz w:val="22"/>
                <w:szCs w:val="22"/>
              </w:rPr>
              <w:t>3</w:t>
            </w:r>
          </w:p>
        </w:tc>
        <w:tc>
          <w:tcPr>
            <w:tcW w:w="544" w:type="pct"/>
            <w:shd w:val="clear" w:color="auto" w:fill="FFFFFF" w:themeFill="background1"/>
          </w:tcPr>
          <w:p w14:paraId="291F011A" w14:textId="77CD4E78" w:rsidR="00B909F2" w:rsidRPr="00D02B91" w:rsidRDefault="008607BA" w:rsidP="00523115">
            <w:pPr>
              <w:jc w:val="center"/>
              <w:rPr>
                <w:rFonts w:ascii="Arial Narrow" w:hAnsi="Arial Narrow"/>
                <w:b/>
                <w:sz w:val="22"/>
                <w:szCs w:val="22"/>
              </w:rPr>
            </w:pPr>
            <w:r w:rsidRPr="00D02B91">
              <w:rPr>
                <w:rFonts w:ascii="Arial Narrow" w:hAnsi="Arial Narrow"/>
                <w:b/>
                <w:sz w:val="22"/>
                <w:szCs w:val="22"/>
              </w:rPr>
              <w:t>March 202</w:t>
            </w:r>
            <w:r w:rsidR="00D02B91" w:rsidRPr="00D02B91">
              <w:rPr>
                <w:rFonts w:ascii="Arial Narrow" w:hAnsi="Arial Narrow"/>
                <w:b/>
                <w:sz w:val="22"/>
                <w:szCs w:val="22"/>
              </w:rPr>
              <w:t>7</w:t>
            </w:r>
          </w:p>
        </w:tc>
        <w:tc>
          <w:tcPr>
            <w:tcW w:w="1140" w:type="pct"/>
            <w:shd w:val="clear" w:color="auto" w:fill="FFFFFF" w:themeFill="background1"/>
          </w:tcPr>
          <w:p w14:paraId="2F01E58F" w14:textId="77777777" w:rsidR="008607BA" w:rsidRPr="00D02B91" w:rsidRDefault="008607BA" w:rsidP="008607BA">
            <w:pPr>
              <w:jc w:val="center"/>
              <w:rPr>
                <w:rFonts w:ascii="Arial Narrow" w:hAnsi="Arial Narrow"/>
                <w:b/>
                <w:bCs/>
                <w:sz w:val="22"/>
                <w:szCs w:val="22"/>
              </w:rPr>
            </w:pPr>
            <w:r w:rsidRPr="00D02B91">
              <w:rPr>
                <w:rFonts w:ascii="Arial Narrow" w:hAnsi="Arial Narrow"/>
                <w:b/>
                <w:bCs/>
                <w:sz w:val="22"/>
                <w:szCs w:val="22"/>
              </w:rPr>
              <w:t>- Adoption of advice</w:t>
            </w:r>
          </w:p>
          <w:p w14:paraId="257A0835" w14:textId="76D06275" w:rsidR="00B909F2" w:rsidRPr="00D02B91" w:rsidRDefault="008607BA" w:rsidP="008607BA">
            <w:pPr>
              <w:rPr>
                <w:rFonts w:ascii="Arial Narrow" w:hAnsi="Arial Narrow"/>
                <w:b/>
              </w:rPr>
            </w:pPr>
            <w:r w:rsidRPr="00D02B91">
              <w:rPr>
                <w:rFonts w:ascii="Arial Narrow" w:hAnsi="Arial Narrow"/>
                <w:b/>
                <w:bCs/>
                <w:sz w:val="22"/>
                <w:szCs w:val="22"/>
              </w:rPr>
              <w:t>- Update on work and finances</w:t>
            </w:r>
          </w:p>
        </w:tc>
        <w:tc>
          <w:tcPr>
            <w:tcW w:w="842" w:type="pct"/>
            <w:shd w:val="clear" w:color="auto" w:fill="FFFFFF" w:themeFill="background1"/>
          </w:tcPr>
          <w:p w14:paraId="21423778" w14:textId="77777777" w:rsidR="00B909F2" w:rsidRPr="00D02B91" w:rsidRDefault="008607BA" w:rsidP="00523115">
            <w:pPr>
              <w:jc w:val="center"/>
              <w:rPr>
                <w:rFonts w:ascii="Arial Narrow" w:hAnsi="Arial Narrow"/>
                <w:b/>
                <w:sz w:val="22"/>
                <w:szCs w:val="22"/>
              </w:rPr>
            </w:pPr>
            <w:r w:rsidRPr="00D02B91">
              <w:rPr>
                <w:rFonts w:ascii="Arial Narrow" w:hAnsi="Arial Narrow"/>
                <w:b/>
                <w:sz w:val="22"/>
                <w:szCs w:val="22"/>
              </w:rPr>
              <w:t>Executive Committee</w:t>
            </w:r>
          </w:p>
          <w:p w14:paraId="559990DA" w14:textId="72CED4FC" w:rsidR="008607BA" w:rsidRPr="00D02B91" w:rsidRDefault="008607BA" w:rsidP="00523115">
            <w:pPr>
              <w:jc w:val="center"/>
              <w:rPr>
                <w:rFonts w:ascii="Arial Narrow" w:hAnsi="Arial Narrow"/>
                <w:b/>
                <w:sz w:val="22"/>
                <w:szCs w:val="22"/>
              </w:rPr>
            </w:pPr>
            <w:r w:rsidRPr="00D02B91">
              <w:rPr>
                <w:rFonts w:ascii="Arial Narrow" w:hAnsi="Arial Narrow"/>
                <w:b/>
                <w:sz w:val="22"/>
                <w:szCs w:val="22"/>
              </w:rPr>
              <w:t>Online (Zoom)</w:t>
            </w:r>
          </w:p>
        </w:tc>
        <w:tc>
          <w:tcPr>
            <w:tcW w:w="644" w:type="pct"/>
            <w:shd w:val="clear" w:color="auto" w:fill="FFFFFF" w:themeFill="background1"/>
          </w:tcPr>
          <w:p w14:paraId="7F56CC7D" w14:textId="06753985" w:rsidR="00B909F2" w:rsidRPr="00D02B91" w:rsidRDefault="008607BA" w:rsidP="00523115">
            <w:pPr>
              <w:jc w:val="center"/>
              <w:rPr>
                <w:rFonts w:ascii="Arial Narrow" w:hAnsi="Arial Narrow"/>
                <w:b/>
                <w:sz w:val="22"/>
                <w:szCs w:val="22"/>
              </w:rPr>
            </w:pPr>
            <w:r w:rsidRPr="00D02B91">
              <w:rPr>
                <w:rFonts w:ascii="Arial Narrow" w:hAnsi="Arial Narrow"/>
                <w:b/>
                <w:sz w:val="22"/>
                <w:szCs w:val="22"/>
              </w:rPr>
              <w:t>No</w:t>
            </w:r>
          </w:p>
        </w:tc>
        <w:tc>
          <w:tcPr>
            <w:tcW w:w="1109" w:type="pct"/>
            <w:shd w:val="clear" w:color="auto" w:fill="FFFFFF" w:themeFill="background1"/>
          </w:tcPr>
          <w:p w14:paraId="3FEFDAAF" w14:textId="77777777" w:rsidR="00B909F2" w:rsidRPr="00D02B91" w:rsidRDefault="00B909F2" w:rsidP="00B909F2">
            <w:pPr>
              <w:jc w:val="center"/>
              <w:rPr>
                <w:rFonts w:ascii="Arial Narrow" w:hAnsi="Arial Narrow"/>
                <w:b/>
                <w:sz w:val="22"/>
                <w:szCs w:val="22"/>
              </w:rPr>
            </w:pPr>
          </w:p>
        </w:tc>
        <w:tc>
          <w:tcPr>
            <w:tcW w:w="474" w:type="pct"/>
            <w:shd w:val="clear" w:color="auto" w:fill="FFFFFF" w:themeFill="background1"/>
          </w:tcPr>
          <w:p w14:paraId="6FA54E67" w14:textId="77777777" w:rsidR="00B909F2" w:rsidRPr="00D02B91" w:rsidRDefault="00B909F2" w:rsidP="00523115">
            <w:pPr>
              <w:jc w:val="center"/>
              <w:rPr>
                <w:rFonts w:ascii="Arial Narrow" w:hAnsi="Arial Narrow"/>
                <w:b/>
                <w:sz w:val="22"/>
                <w:szCs w:val="22"/>
              </w:rPr>
            </w:pPr>
          </w:p>
        </w:tc>
      </w:tr>
      <w:tr w:rsidR="008607BA" w:rsidRPr="00D02B91" w14:paraId="19BCED35" w14:textId="77777777" w:rsidTr="00941E4B">
        <w:trPr>
          <w:cantSplit/>
          <w:trHeight w:val="318"/>
          <w:jc w:val="center"/>
        </w:trPr>
        <w:tc>
          <w:tcPr>
            <w:tcW w:w="246" w:type="pct"/>
            <w:shd w:val="clear" w:color="auto" w:fill="FFFFFF" w:themeFill="background1"/>
          </w:tcPr>
          <w:p w14:paraId="12D98F04" w14:textId="2325DDF5"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1</w:t>
            </w:r>
            <w:r w:rsidR="00C516EB" w:rsidRPr="00D02B91">
              <w:rPr>
                <w:rFonts w:ascii="Arial Narrow" w:hAnsi="Arial Narrow"/>
                <w:b/>
                <w:sz w:val="22"/>
                <w:szCs w:val="22"/>
              </w:rPr>
              <w:t>4</w:t>
            </w:r>
          </w:p>
        </w:tc>
        <w:tc>
          <w:tcPr>
            <w:tcW w:w="544" w:type="pct"/>
            <w:shd w:val="clear" w:color="auto" w:fill="FFFFFF" w:themeFill="background1"/>
          </w:tcPr>
          <w:p w14:paraId="3F504327" w14:textId="60E1AE99" w:rsidR="008607BA" w:rsidRPr="00D02B91" w:rsidRDefault="009017DE" w:rsidP="008607BA">
            <w:pPr>
              <w:jc w:val="center"/>
              <w:rPr>
                <w:rFonts w:ascii="Arial Narrow" w:hAnsi="Arial Narrow"/>
                <w:b/>
                <w:sz w:val="22"/>
                <w:szCs w:val="22"/>
              </w:rPr>
            </w:pPr>
            <w:r w:rsidRPr="00D02B91">
              <w:rPr>
                <w:rFonts w:ascii="Arial Narrow" w:hAnsi="Arial Narrow"/>
                <w:b/>
                <w:sz w:val="22"/>
                <w:szCs w:val="22"/>
              </w:rPr>
              <w:t>June</w:t>
            </w:r>
            <w:r w:rsidR="008607BA" w:rsidRPr="00D02B91">
              <w:rPr>
                <w:rFonts w:ascii="Arial Narrow" w:hAnsi="Arial Narrow"/>
                <w:b/>
                <w:sz w:val="22"/>
                <w:szCs w:val="22"/>
              </w:rPr>
              <w:t xml:space="preserve"> 202</w:t>
            </w:r>
            <w:r w:rsidR="00D02B91" w:rsidRPr="00D02B91">
              <w:rPr>
                <w:rFonts w:ascii="Arial Narrow" w:hAnsi="Arial Narrow"/>
                <w:b/>
                <w:sz w:val="22"/>
                <w:szCs w:val="22"/>
              </w:rPr>
              <w:t>7</w:t>
            </w:r>
          </w:p>
        </w:tc>
        <w:tc>
          <w:tcPr>
            <w:tcW w:w="1140" w:type="pct"/>
            <w:shd w:val="clear" w:color="auto" w:fill="FFFFFF" w:themeFill="background1"/>
          </w:tcPr>
          <w:p w14:paraId="052CF993" w14:textId="58246CE3" w:rsidR="008607BA" w:rsidRPr="00D02B91" w:rsidRDefault="00C150CC" w:rsidP="00C150CC">
            <w:pPr>
              <w:rPr>
                <w:rFonts w:ascii="Arial Narrow" w:hAnsi="Arial Narrow"/>
                <w:b/>
                <w:bCs/>
                <w:sz w:val="22"/>
                <w:szCs w:val="22"/>
              </w:rPr>
            </w:pPr>
            <w:r w:rsidRPr="00D02B91">
              <w:rPr>
                <w:rFonts w:ascii="Arial Narrow" w:hAnsi="Arial Narrow"/>
                <w:b/>
                <w:bCs/>
                <w:sz w:val="22"/>
                <w:szCs w:val="22"/>
              </w:rPr>
              <w:t>- Common Market Organisation</w:t>
            </w:r>
          </w:p>
        </w:tc>
        <w:tc>
          <w:tcPr>
            <w:tcW w:w="842" w:type="pct"/>
            <w:shd w:val="clear" w:color="auto" w:fill="FFFFFF" w:themeFill="background1"/>
          </w:tcPr>
          <w:p w14:paraId="7D18A247" w14:textId="77777777"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 xml:space="preserve">Working Group 1 </w:t>
            </w:r>
          </w:p>
          <w:p w14:paraId="296F3E0B" w14:textId="35168B8F"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Physical (Brussels)</w:t>
            </w:r>
          </w:p>
        </w:tc>
        <w:tc>
          <w:tcPr>
            <w:tcW w:w="644" w:type="pct"/>
            <w:shd w:val="clear" w:color="auto" w:fill="FFFFFF" w:themeFill="background1"/>
          </w:tcPr>
          <w:p w14:paraId="2BABE3F8" w14:textId="01AF86A8" w:rsidR="008607BA" w:rsidRPr="00D02B91" w:rsidRDefault="0000319F" w:rsidP="00C150CC">
            <w:pPr>
              <w:jc w:val="center"/>
              <w:rPr>
                <w:rFonts w:ascii="Arial Narrow" w:hAnsi="Arial Narrow"/>
                <w:b/>
                <w:sz w:val="22"/>
                <w:szCs w:val="22"/>
              </w:rPr>
            </w:pPr>
            <w:r>
              <w:rPr>
                <w:rFonts w:ascii="Arial Narrow" w:hAnsi="Arial Narrow"/>
                <w:b/>
                <w:sz w:val="22"/>
                <w:szCs w:val="22"/>
              </w:rPr>
              <w:t>No</w:t>
            </w:r>
          </w:p>
        </w:tc>
        <w:tc>
          <w:tcPr>
            <w:tcW w:w="1109" w:type="pct"/>
            <w:shd w:val="clear" w:color="auto" w:fill="FFFFFF" w:themeFill="background1"/>
          </w:tcPr>
          <w:p w14:paraId="7C556EDE" w14:textId="7294C977" w:rsidR="008607BA" w:rsidRPr="00D02B91" w:rsidRDefault="008607BA" w:rsidP="00C150CC">
            <w:pPr>
              <w:jc w:val="center"/>
              <w:rPr>
                <w:rFonts w:ascii="Arial Narrow" w:hAnsi="Arial Narrow"/>
                <w:b/>
                <w:sz w:val="22"/>
                <w:szCs w:val="22"/>
              </w:rPr>
            </w:pPr>
          </w:p>
        </w:tc>
        <w:tc>
          <w:tcPr>
            <w:tcW w:w="474" w:type="pct"/>
            <w:shd w:val="clear" w:color="auto" w:fill="FFFFFF" w:themeFill="background1"/>
          </w:tcPr>
          <w:p w14:paraId="748B2951" w14:textId="5101CAB2" w:rsidR="008607BA" w:rsidRPr="00D02B91" w:rsidRDefault="008607BA" w:rsidP="008607BA">
            <w:pPr>
              <w:jc w:val="center"/>
              <w:rPr>
                <w:rFonts w:ascii="Arial Narrow" w:hAnsi="Arial Narrow"/>
                <w:b/>
                <w:sz w:val="22"/>
                <w:szCs w:val="22"/>
              </w:rPr>
            </w:pPr>
          </w:p>
        </w:tc>
      </w:tr>
      <w:tr w:rsidR="008607BA" w:rsidRPr="00D02B91" w14:paraId="7EC7E5C4" w14:textId="77777777" w:rsidTr="00941E4B">
        <w:trPr>
          <w:cantSplit/>
          <w:trHeight w:val="318"/>
          <w:jc w:val="center"/>
        </w:trPr>
        <w:tc>
          <w:tcPr>
            <w:tcW w:w="246" w:type="pct"/>
            <w:shd w:val="clear" w:color="auto" w:fill="FFFFFF" w:themeFill="background1"/>
          </w:tcPr>
          <w:p w14:paraId="7660B4FA" w14:textId="456F7C4A"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1</w:t>
            </w:r>
            <w:r w:rsidR="00C516EB" w:rsidRPr="00D02B91">
              <w:rPr>
                <w:rFonts w:ascii="Arial Narrow" w:hAnsi="Arial Narrow"/>
                <w:b/>
                <w:sz w:val="22"/>
                <w:szCs w:val="22"/>
              </w:rPr>
              <w:t>5</w:t>
            </w:r>
          </w:p>
        </w:tc>
        <w:tc>
          <w:tcPr>
            <w:tcW w:w="544" w:type="pct"/>
            <w:shd w:val="clear" w:color="auto" w:fill="FFFFFF" w:themeFill="background1"/>
          </w:tcPr>
          <w:p w14:paraId="770BD972" w14:textId="4C588FD7" w:rsidR="008607BA" w:rsidRPr="00D02B91" w:rsidRDefault="009017DE" w:rsidP="008607BA">
            <w:pPr>
              <w:jc w:val="center"/>
              <w:rPr>
                <w:rFonts w:ascii="Arial Narrow" w:hAnsi="Arial Narrow"/>
                <w:b/>
                <w:sz w:val="22"/>
                <w:szCs w:val="22"/>
              </w:rPr>
            </w:pPr>
            <w:r w:rsidRPr="00D02B91">
              <w:rPr>
                <w:rFonts w:ascii="Arial Narrow" w:hAnsi="Arial Narrow"/>
                <w:b/>
                <w:sz w:val="22"/>
                <w:szCs w:val="22"/>
              </w:rPr>
              <w:t xml:space="preserve">June </w:t>
            </w:r>
            <w:r w:rsidR="008607BA" w:rsidRPr="00D02B91">
              <w:rPr>
                <w:rFonts w:ascii="Arial Narrow" w:hAnsi="Arial Narrow"/>
                <w:b/>
                <w:sz w:val="22"/>
                <w:szCs w:val="22"/>
              </w:rPr>
              <w:t>202</w:t>
            </w:r>
            <w:r w:rsidR="00D02B91" w:rsidRPr="00D02B91">
              <w:rPr>
                <w:rFonts w:ascii="Arial Narrow" w:hAnsi="Arial Narrow"/>
                <w:b/>
                <w:sz w:val="22"/>
                <w:szCs w:val="22"/>
              </w:rPr>
              <w:t>7</w:t>
            </w:r>
          </w:p>
        </w:tc>
        <w:tc>
          <w:tcPr>
            <w:tcW w:w="1140" w:type="pct"/>
            <w:shd w:val="clear" w:color="auto" w:fill="FFFFFF" w:themeFill="background1"/>
          </w:tcPr>
          <w:p w14:paraId="1CA1E9B8" w14:textId="55CA9F59" w:rsidR="001D5ABF" w:rsidRPr="00C12CEF" w:rsidRDefault="00C12CEF" w:rsidP="00C12CEF">
            <w:pPr>
              <w:jc w:val="center"/>
              <w:rPr>
                <w:rFonts w:ascii="Arial Narrow" w:hAnsi="Arial Narrow"/>
                <w:b/>
                <w:sz w:val="22"/>
                <w:szCs w:val="22"/>
              </w:rPr>
            </w:pPr>
            <w:r w:rsidRPr="00C12CEF">
              <w:rPr>
                <w:rFonts w:ascii="Arial Narrow" w:hAnsi="Arial Narrow"/>
                <w:b/>
                <w:sz w:val="22"/>
                <w:szCs w:val="22"/>
              </w:rPr>
              <w:t>-</w:t>
            </w:r>
            <w:r>
              <w:rPr>
                <w:rFonts w:ascii="Arial Narrow" w:hAnsi="Arial Narrow"/>
                <w:b/>
              </w:rPr>
              <w:t xml:space="preserve"> </w:t>
            </w:r>
            <w:r w:rsidRPr="00C12CEF">
              <w:rPr>
                <w:rFonts w:ascii="Arial Narrow" w:hAnsi="Arial Narrow"/>
                <w:b/>
              </w:rPr>
              <w:t>Simplification</w:t>
            </w:r>
          </w:p>
        </w:tc>
        <w:tc>
          <w:tcPr>
            <w:tcW w:w="842" w:type="pct"/>
            <w:shd w:val="clear" w:color="auto" w:fill="FFFFFF" w:themeFill="background1"/>
          </w:tcPr>
          <w:p w14:paraId="3CF4B9E7" w14:textId="77777777"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 xml:space="preserve">Working Group 2 </w:t>
            </w:r>
          </w:p>
          <w:p w14:paraId="0A9002B3" w14:textId="138C9B4D"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Physical (Brussels)</w:t>
            </w:r>
          </w:p>
        </w:tc>
        <w:tc>
          <w:tcPr>
            <w:tcW w:w="644" w:type="pct"/>
            <w:shd w:val="clear" w:color="auto" w:fill="FFFFFF" w:themeFill="background1"/>
          </w:tcPr>
          <w:p w14:paraId="51C4521C" w14:textId="4F511849"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738EE824" w14:textId="196C8890"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 xml:space="preserve">- </w:t>
            </w:r>
            <w:r w:rsidR="00C12CEF">
              <w:rPr>
                <w:rFonts w:ascii="Arial Narrow" w:hAnsi="Arial Narrow"/>
                <w:b/>
                <w:sz w:val="22"/>
                <w:szCs w:val="22"/>
              </w:rPr>
              <w:t>Presentation of the studies on the administrative burden of the Fisheries Control Regulation</w:t>
            </w:r>
          </w:p>
        </w:tc>
        <w:tc>
          <w:tcPr>
            <w:tcW w:w="474" w:type="pct"/>
            <w:shd w:val="clear" w:color="auto" w:fill="FFFFFF" w:themeFill="background1"/>
          </w:tcPr>
          <w:p w14:paraId="4C6CA377" w14:textId="0806B1E9"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2</w:t>
            </w:r>
          </w:p>
        </w:tc>
      </w:tr>
      <w:tr w:rsidR="008607BA" w:rsidRPr="00D02B91" w14:paraId="7C4F62C7" w14:textId="77777777" w:rsidTr="00C12CEF">
        <w:trPr>
          <w:cantSplit/>
          <w:trHeight w:val="1165"/>
          <w:jc w:val="center"/>
        </w:trPr>
        <w:tc>
          <w:tcPr>
            <w:tcW w:w="246" w:type="pct"/>
            <w:shd w:val="clear" w:color="auto" w:fill="FFFFFF" w:themeFill="background1"/>
          </w:tcPr>
          <w:p w14:paraId="608932F1" w14:textId="58D10865"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1</w:t>
            </w:r>
            <w:r w:rsidR="00C516EB" w:rsidRPr="00D02B91">
              <w:rPr>
                <w:rFonts w:ascii="Arial Narrow" w:hAnsi="Arial Narrow"/>
                <w:b/>
                <w:sz w:val="22"/>
                <w:szCs w:val="22"/>
              </w:rPr>
              <w:t>6</w:t>
            </w:r>
          </w:p>
        </w:tc>
        <w:tc>
          <w:tcPr>
            <w:tcW w:w="544" w:type="pct"/>
            <w:shd w:val="clear" w:color="auto" w:fill="FFFFFF" w:themeFill="background1"/>
          </w:tcPr>
          <w:p w14:paraId="0A742EBC" w14:textId="2DCA39C1" w:rsidR="008607BA" w:rsidRPr="00D02B91" w:rsidRDefault="009017DE" w:rsidP="008607BA">
            <w:pPr>
              <w:jc w:val="center"/>
              <w:rPr>
                <w:rFonts w:ascii="Arial Narrow" w:hAnsi="Arial Narrow"/>
                <w:b/>
                <w:sz w:val="22"/>
                <w:szCs w:val="22"/>
              </w:rPr>
            </w:pPr>
            <w:r w:rsidRPr="00D02B91">
              <w:rPr>
                <w:rFonts w:ascii="Arial Narrow" w:hAnsi="Arial Narrow"/>
                <w:b/>
                <w:sz w:val="22"/>
                <w:szCs w:val="22"/>
              </w:rPr>
              <w:t xml:space="preserve">June </w:t>
            </w:r>
            <w:r w:rsidR="008607BA" w:rsidRPr="00D02B91">
              <w:rPr>
                <w:rFonts w:ascii="Arial Narrow" w:hAnsi="Arial Narrow"/>
                <w:b/>
                <w:sz w:val="22"/>
                <w:szCs w:val="22"/>
              </w:rPr>
              <w:t xml:space="preserve"> 202</w:t>
            </w:r>
            <w:r w:rsidR="00D02B91" w:rsidRPr="00D02B91">
              <w:rPr>
                <w:rFonts w:ascii="Arial Narrow" w:hAnsi="Arial Narrow"/>
                <w:b/>
                <w:sz w:val="22"/>
                <w:szCs w:val="22"/>
              </w:rPr>
              <w:t>7</w:t>
            </w:r>
          </w:p>
        </w:tc>
        <w:tc>
          <w:tcPr>
            <w:tcW w:w="1140" w:type="pct"/>
            <w:shd w:val="clear" w:color="auto" w:fill="FFFFFF" w:themeFill="background1"/>
          </w:tcPr>
          <w:p w14:paraId="26318AFC" w14:textId="79CDB824" w:rsidR="008607BA" w:rsidRPr="00D02B91" w:rsidRDefault="001D5ABF" w:rsidP="001D5ABF">
            <w:pPr>
              <w:jc w:val="center"/>
              <w:rPr>
                <w:rFonts w:ascii="Arial Narrow" w:hAnsi="Arial Narrow"/>
                <w:b/>
                <w:bCs/>
                <w:sz w:val="22"/>
                <w:szCs w:val="22"/>
              </w:rPr>
            </w:pPr>
            <w:r w:rsidRPr="00D02B91">
              <w:rPr>
                <w:rFonts w:ascii="Arial Narrow" w:hAnsi="Arial Narrow"/>
                <w:b/>
                <w:bCs/>
                <w:sz w:val="22"/>
                <w:szCs w:val="22"/>
              </w:rPr>
              <w:t xml:space="preserve">- </w:t>
            </w:r>
            <w:r w:rsidR="00C12CEF">
              <w:rPr>
                <w:rFonts w:ascii="Arial Narrow" w:hAnsi="Arial Narrow"/>
                <w:b/>
                <w:bCs/>
                <w:sz w:val="22"/>
                <w:szCs w:val="22"/>
              </w:rPr>
              <w:t>Consumer information</w:t>
            </w:r>
          </w:p>
        </w:tc>
        <w:tc>
          <w:tcPr>
            <w:tcW w:w="842" w:type="pct"/>
            <w:shd w:val="clear" w:color="auto" w:fill="FFFFFF" w:themeFill="background1"/>
          </w:tcPr>
          <w:p w14:paraId="142E9E49" w14:textId="77777777"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 xml:space="preserve">Working Group 3 </w:t>
            </w:r>
          </w:p>
          <w:p w14:paraId="55ADB139" w14:textId="5B7B0AAB"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Physical (Brussels)</w:t>
            </w:r>
          </w:p>
        </w:tc>
        <w:tc>
          <w:tcPr>
            <w:tcW w:w="644" w:type="pct"/>
            <w:shd w:val="clear" w:color="auto" w:fill="FFFFFF" w:themeFill="background1"/>
          </w:tcPr>
          <w:p w14:paraId="0374C315" w14:textId="49801EDA"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316CBB45" w14:textId="023A6CFE" w:rsidR="008607BA" w:rsidRPr="00D02B91" w:rsidRDefault="001D5ABF" w:rsidP="001D5ABF">
            <w:pPr>
              <w:jc w:val="center"/>
              <w:rPr>
                <w:rFonts w:ascii="Arial Narrow" w:hAnsi="Arial Narrow"/>
                <w:b/>
                <w:sz w:val="22"/>
                <w:szCs w:val="22"/>
              </w:rPr>
            </w:pPr>
            <w:r w:rsidRPr="00D02B91">
              <w:rPr>
                <w:rFonts w:ascii="Arial Narrow" w:hAnsi="Arial Narrow"/>
                <w:b/>
                <w:sz w:val="22"/>
                <w:szCs w:val="22"/>
              </w:rPr>
              <w:t xml:space="preserve">- </w:t>
            </w:r>
            <w:r w:rsidR="00C12CEF">
              <w:rPr>
                <w:rFonts w:ascii="Arial Narrow" w:hAnsi="Arial Narrow"/>
                <w:b/>
                <w:sz w:val="22"/>
                <w:szCs w:val="22"/>
              </w:rPr>
              <w:t>U</w:t>
            </w:r>
            <w:r w:rsidR="00C150CC" w:rsidRPr="00D02B91">
              <w:rPr>
                <w:rFonts w:ascii="Arial Narrow" w:hAnsi="Arial Narrow"/>
                <w:b/>
                <w:sz w:val="22"/>
                <w:szCs w:val="22"/>
              </w:rPr>
              <w:t>pdate on</w:t>
            </w:r>
            <w:r w:rsidR="00C12CEF">
              <w:rPr>
                <w:rFonts w:ascii="Arial Narrow" w:hAnsi="Arial Narrow"/>
                <w:b/>
                <w:sz w:val="22"/>
                <w:szCs w:val="22"/>
              </w:rPr>
              <w:t xml:space="preserve"> potential amendments to</w:t>
            </w:r>
            <w:r w:rsidR="00C150CC" w:rsidRPr="00D02B91">
              <w:rPr>
                <w:rFonts w:ascii="Arial Narrow" w:hAnsi="Arial Narrow"/>
                <w:b/>
                <w:sz w:val="22"/>
                <w:szCs w:val="22"/>
              </w:rPr>
              <w:t xml:space="preserve"> labelling and consumer information rules</w:t>
            </w:r>
          </w:p>
        </w:tc>
        <w:tc>
          <w:tcPr>
            <w:tcW w:w="474" w:type="pct"/>
            <w:shd w:val="clear" w:color="auto" w:fill="FFFFFF" w:themeFill="background1"/>
          </w:tcPr>
          <w:p w14:paraId="33591A36" w14:textId="582D680A"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2</w:t>
            </w:r>
          </w:p>
        </w:tc>
      </w:tr>
      <w:tr w:rsidR="008607BA" w:rsidRPr="00D02B91" w14:paraId="1F67EE6D" w14:textId="77777777" w:rsidTr="00941E4B">
        <w:trPr>
          <w:cantSplit/>
          <w:trHeight w:val="318"/>
          <w:jc w:val="center"/>
        </w:trPr>
        <w:tc>
          <w:tcPr>
            <w:tcW w:w="246" w:type="pct"/>
            <w:shd w:val="clear" w:color="auto" w:fill="FFFFFF" w:themeFill="background1"/>
          </w:tcPr>
          <w:p w14:paraId="7B8F7E12" w14:textId="227BC9ED"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1</w:t>
            </w:r>
            <w:r w:rsidR="00C516EB" w:rsidRPr="00D02B91">
              <w:rPr>
                <w:rFonts w:ascii="Arial Narrow" w:hAnsi="Arial Narrow"/>
                <w:b/>
                <w:sz w:val="22"/>
                <w:szCs w:val="22"/>
              </w:rPr>
              <w:t>7</w:t>
            </w:r>
          </w:p>
        </w:tc>
        <w:tc>
          <w:tcPr>
            <w:tcW w:w="544" w:type="pct"/>
            <w:shd w:val="clear" w:color="auto" w:fill="FFFFFF" w:themeFill="background1"/>
          </w:tcPr>
          <w:p w14:paraId="4AE47FEF" w14:textId="701F1AD9" w:rsidR="008607BA" w:rsidRPr="00D02B91" w:rsidRDefault="009017DE" w:rsidP="008607BA">
            <w:pPr>
              <w:jc w:val="center"/>
              <w:rPr>
                <w:rFonts w:ascii="Arial Narrow" w:hAnsi="Arial Narrow"/>
                <w:b/>
                <w:sz w:val="22"/>
                <w:szCs w:val="22"/>
              </w:rPr>
            </w:pPr>
            <w:r w:rsidRPr="00D02B91">
              <w:rPr>
                <w:rFonts w:ascii="Arial Narrow" w:hAnsi="Arial Narrow"/>
                <w:b/>
                <w:sz w:val="22"/>
                <w:szCs w:val="22"/>
              </w:rPr>
              <w:t xml:space="preserve">June </w:t>
            </w:r>
            <w:r w:rsidR="008607BA" w:rsidRPr="00D02B91">
              <w:rPr>
                <w:rFonts w:ascii="Arial Narrow" w:hAnsi="Arial Narrow"/>
                <w:b/>
                <w:sz w:val="22"/>
                <w:szCs w:val="22"/>
              </w:rPr>
              <w:t>202</w:t>
            </w:r>
            <w:r w:rsidR="00D02B91" w:rsidRPr="00D02B91">
              <w:rPr>
                <w:rFonts w:ascii="Arial Narrow" w:hAnsi="Arial Narrow"/>
                <w:b/>
                <w:sz w:val="22"/>
                <w:szCs w:val="22"/>
              </w:rPr>
              <w:t>7</w:t>
            </w:r>
          </w:p>
        </w:tc>
        <w:tc>
          <w:tcPr>
            <w:tcW w:w="1140" w:type="pct"/>
            <w:shd w:val="clear" w:color="auto" w:fill="FFFFFF" w:themeFill="background1"/>
          </w:tcPr>
          <w:p w14:paraId="608AB16D" w14:textId="77777777"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 Update on work done and finances</w:t>
            </w:r>
          </w:p>
          <w:p w14:paraId="3B0CD65B" w14:textId="0745ACC1" w:rsidR="008607BA" w:rsidRPr="00D02B91" w:rsidRDefault="001D5ABF" w:rsidP="008607BA">
            <w:pPr>
              <w:jc w:val="center"/>
              <w:rPr>
                <w:rFonts w:ascii="Arial Narrow" w:hAnsi="Arial Narrow"/>
                <w:b/>
                <w:bCs/>
                <w:sz w:val="22"/>
                <w:szCs w:val="22"/>
              </w:rPr>
            </w:pPr>
            <w:r w:rsidRPr="00D02B91">
              <w:rPr>
                <w:rFonts w:ascii="Arial Narrow" w:hAnsi="Arial Narrow"/>
                <w:b/>
                <w:bCs/>
                <w:sz w:val="22"/>
                <w:szCs w:val="22"/>
              </w:rPr>
              <w:t>- FAO</w:t>
            </w:r>
            <w:r w:rsidR="009017DE" w:rsidRPr="00D02B91">
              <w:rPr>
                <w:rFonts w:ascii="Arial Narrow" w:hAnsi="Arial Narrow"/>
                <w:b/>
                <w:bCs/>
                <w:sz w:val="22"/>
                <w:szCs w:val="22"/>
              </w:rPr>
              <w:t xml:space="preserve">’s </w:t>
            </w:r>
            <w:r w:rsidR="00C12CEF">
              <w:rPr>
                <w:rFonts w:ascii="Arial Narrow" w:hAnsi="Arial Narrow"/>
                <w:b/>
                <w:bCs/>
                <w:sz w:val="22"/>
                <w:szCs w:val="22"/>
              </w:rPr>
              <w:t>Sub-Committee on Fish Trade</w:t>
            </w:r>
          </w:p>
        </w:tc>
        <w:tc>
          <w:tcPr>
            <w:tcW w:w="842" w:type="pct"/>
            <w:shd w:val="clear" w:color="auto" w:fill="FFFFFF" w:themeFill="background1"/>
          </w:tcPr>
          <w:p w14:paraId="10FD6A6B" w14:textId="77777777"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Executive Committee</w:t>
            </w:r>
          </w:p>
          <w:p w14:paraId="7688356D" w14:textId="5AD093F5" w:rsidR="008607BA" w:rsidRPr="00D02B91" w:rsidRDefault="008607BA" w:rsidP="008607BA">
            <w:pPr>
              <w:jc w:val="center"/>
              <w:rPr>
                <w:rFonts w:ascii="Arial Narrow" w:hAnsi="Arial Narrow"/>
                <w:b/>
                <w:sz w:val="22"/>
                <w:szCs w:val="22"/>
              </w:rPr>
            </w:pPr>
            <w:r w:rsidRPr="00D02B91">
              <w:rPr>
                <w:rFonts w:ascii="Arial Narrow" w:hAnsi="Arial Narrow"/>
                <w:b/>
                <w:sz w:val="22"/>
                <w:szCs w:val="22"/>
              </w:rPr>
              <w:t>Physical (Brussels)</w:t>
            </w:r>
          </w:p>
        </w:tc>
        <w:tc>
          <w:tcPr>
            <w:tcW w:w="644" w:type="pct"/>
            <w:shd w:val="clear" w:color="auto" w:fill="FFFFFF" w:themeFill="background1"/>
          </w:tcPr>
          <w:p w14:paraId="627684AA" w14:textId="43D1BE9F" w:rsidR="008607BA" w:rsidRPr="00D02B91" w:rsidRDefault="001D5ABF" w:rsidP="008607BA">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77CC6783" w14:textId="257CAAB8" w:rsidR="008607BA" w:rsidRPr="00D02B91" w:rsidRDefault="001D5ABF" w:rsidP="001D5ABF">
            <w:pPr>
              <w:jc w:val="center"/>
              <w:rPr>
                <w:rFonts w:ascii="Arial Narrow" w:hAnsi="Arial Narrow"/>
                <w:b/>
                <w:sz w:val="22"/>
                <w:szCs w:val="22"/>
              </w:rPr>
            </w:pPr>
            <w:r w:rsidRPr="00D02B91">
              <w:rPr>
                <w:rFonts w:ascii="Arial Narrow" w:hAnsi="Arial Narrow"/>
                <w:b/>
                <w:sz w:val="22"/>
                <w:szCs w:val="22"/>
              </w:rPr>
              <w:t xml:space="preserve">- Update on EU’s </w:t>
            </w:r>
            <w:r w:rsidR="009017DE" w:rsidRPr="00D02B91">
              <w:rPr>
                <w:rFonts w:ascii="Arial Narrow" w:hAnsi="Arial Narrow"/>
                <w:b/>
                <w:sz w:val="22"/>
                <w:szCs w:val="22"/>
              </w:rPr>
              <w:t>mandate for the FAO’s Committee on Fisheries</w:t>
            </w:r>
          </w:p>
        </w:tc>
        <w:tc>
          <w:tcPr>
            <w:tcW w:w="474" w:type="pct"/>
            <w:shd w:val="clear" w:color="auto" w:fill="FFFFFF" w:themeFill="background1"/>
          </w:tcPr>
          <w:p w14:paraId="77AC1328" w14:textId="4A68A7C9" w:rsidR="008607BA" w:rsidRPr="00D02B91" w:rsidRDefault="001D5ABF" w:rsidP="008607BA">
            <w:pPr>
              <w:jc w:val="center"/>
              <w:rPr>
                <w:rFonts w:ascii="Arial Narrow" w:hAnsi="Arial Narrow"/>
                <w:b/>
                <w:sz w:val="22"/>
                <w:szCs w:val="22"/>
              </w:rPr>
            </w:pPr>
            <w:r w:rsidRPr="00D02B91">
              <w:rPr>
                <w:rFonts w:ascii="Arial Narrow" w:hAnsi="Arial Narrow"/>
                <w:b/>
                <w:sz w:val="22"/>
                <w:szCs w:val="22"/>
              </w:rPr>
              <w:t>2</w:t>
            </w:r>
          </w:p>
        </w:tc>
      </w:tr>
      <w:tr w:rsidR="001D5ABF" w:rsidRPr="00D02B91" w14:paraId="777EECC0" w14:textId="77777777" w:rsidTr="00941E4B">
        <w:trPr>
          <w:cantSplit/>
          <w:trHeight w:val="318"/>
          <w:jc w:val="center"/>
        </w:trPr>
        <w:tc>
          <w:tcPr>
            <w:tcW w:w="246" w:type="pct"/>
            <w:shd w:val="clear" w:color="auto" w:fill="FFFFFF" w:themeFill="background1"/>
          </w:tcPr>
          <w:p w14:paraId="6BA58701" w14:textId="3D36D5BC" w:rsidR="001D5ABF" w:rsidRPr="00D02B91" w:rsidRDefault="001D5ABF" w:rsidP="008607BA">
            <w:pPr>
              <w:jc w:val="center"/>
              <w:rPr>
                <w:rFonts w:ascii="Arial Narrow" w:hAnsi="Arial Narrow"/>
                <w:b/>
                <w:sz w:val="22"/>
                <w:szCs w:val="22"/>
              </w:rPr>
            </w:pPr>
            <w:r w:rsidRPr="00D02B91">
              <w:rPr>
                <w:rFonts w:ascii="Arial Narrow" w:hAnsi="Arial Narrow"/>
                <w:b/>
                <w:sz w:val="22"/>
                <w:szCs w:val="22"/>
              </w:rPr>
              <w:t>1</w:t>
            </w:r>
            <w:r w:rsidR="00C12CEF">
              <w:rPr>
                <w:rFonts w:ascii="Arial Narrow" w:hAnsi="Arial Narrow"/>
                <w:b/>
                <w:sz w:val="22"/>
                <w:szCs w:val="22"/>
              </w:rPr>
              <w:t>8</w:t>
            </w:r>
          </w:p>
        </w:tc>
        <w:tc>
          <w:tcPr>
            <w:tcW w:w="544" w:type="pct"/>
            <w:shd w:val="clear" w:color="auto" w:fill="FFFFFF" w:themeFill="background1"/>
          </w:tcPr>
          <w:p w14:paraId="48392EDE" w14:textId="3B8E608A" w:rsidR="001D5ABF" w:rsidRPr="00D02B91" w:rsidRDefault="001D5ABF" w:rsidP="008607BA">
            <w:pPr>
              <w:jc w:val="center"/>
              <w:rPr>
                <w:rFonts w:ascii="Arial Narrow" w:hAnsi="Arial Narrow"/>
                <w:b/>
                <w:sz w:val="22"/>
                <w:szCs w:val="22"/>
              </w:rPr>
            </w:pPr>
            <w:r w:rsidRPr="00D02B91">
              <w:rPr>
                <w:rFonts w:ascii="Arial Narrow" w:hAnsi="Arial Narrow"/>
                <w:b/>
                <w:sz w:val="22"/>
                <w:szCs w:val="22"/>
              </w:rPr>
              <w:t>July 202</w:t>
            </w:r>
            <w:r w:rsidR="00D02B91" w:rsidRPr="00D02B91">
              <w:rPr>
                <w:rFonts w:ascii="Arial Narrow" w:hAnsi="Arial Narrow"/>
                <w:b/>
                <w:sz w:val="22"/>
                <w:szCs w:val="22"/>
              </w:rPr>
              <w:t>7</w:t>
            </w:r>
          </w:p>
        </w:tc>
        <w:tc>
          <w:tcPr>
            <w:tcW w:w="1140" w:type="pct"/>
            <w:shd w:val="clear" w:color="auto" w:fill="FFFFFF" w:themeFill="background1"/>
          </w:tcPr>
          <w:p w14:paraId="54C7DE14" w14:textId="187D53E3" w:rsidR="001D5ABF" w:rsidRPr="00D02B91" w:rsidRDefault="001D5ABF" w:rsidP="001D5ABF">
            <w:pPr>
              <w:jc w:val="center"/>
              <w:rPr>
                <w:rFonts w:ascii="Arial Narrow" w:hAnsi="Arial Narrow"/>
                <w:b/>
                <w:bCs/>
                <w:sz w:val="22"/>
                <w:szCs w:val="22"/>
              </w:rPr>
            </w:pPr>
            <w:r w:rsidRPr="00D02B91">
              <w:rPr>
                <w:rFonts w:ascii="Arial Narrow" w:hAnsi="Arial Narrow"/>
                <w:b/>
                <w:bCs/>
                <w:sz w:val="22"/>
                <w:szCs w:val="22"/>
              </w:rPr>
              <w:t>- Preparation of draft work programme and budget of the next operational year</w:t>
            </w:r>
          </w:p>
        </w:tc>
        <w:tc>
          <w:tcPr>
            <w:tcW w:w="842" w:type="pct"/>
            <w:shd w:val="clear" w:color="auto" w:fill="FFFFFF" w:themeFill="background1"/>
          </w:tcPr>
          <w:p w14:paraId="01BC97F6" w14:textId="77777777" w:rsidR="001D5ABF" w:rsidRPr="00D02B91" w:rsidRDefault="001D5ABF" w:rsidP="008607BA">
            <w:pPr>
              <w:jc w:val="center"/>
              <w:rPr>
                <w:rFonts w:ascii="Arial Narrow" w:hAnsi="Arial Narrow"/>
                <w:b/>
                <w:sz w:val="22"/>
                <w:szCs w:val="22"/>
              </w:rPr>
            </w:pPr>
            <w:r w:rsidRPr="00D02B91">
              <w:rPr>
                <w:rFonts w:ascii="Arial Narrow" w:hAnsi="Arial Narrow"/>
                <w:b/>
                <w:sz w:val="22"/>
                <w:szCs w:val="22"/>
              </w:rPr>
              <w:t>Executive Committee</w:t>
            </w:r>
          </w:p>
          <w:p w14:paraId="129F8088" w14:textId="319E9A98" w:rsidR="001D5ABF" w:rsidRPr="00D02B91" w:rsidRDefault="001D5ABF" w:rsidP="008607BA">
            <w:pPr>
              <w:jc w:val="center"/>
              <w:rPr>
                <w:rFonts w:ascii="Arial Narrow" w:hAnsi="Arial Narrow"/>
                <w:b/>
                <w:sz w:val="22"/>
                <w:szCs w:val="22"/>
              </w:rPr>
            </w:pPr>
            <w:r w:rsidRPr="00D02B91">
              <w:rPr>
                <w:rFonts w:ascii="Arial Narrow" w:hAnsi="Arial Narrow"/>
                <w:b/>
                <w:sz w:val="22"/>
                <w:szCs w:val="22"/>
              </w:rPr>
              <w:t>Online (Zoom)</w:t>
            </w:r>
          </w:p>
        </w:tc>
        <w:tc>
          <w:tcPr>
            <w:tcW w:w="644" w:type="pct"/>
            <w:shd w:val="clear" w:color="auto" w:fill="FFFFFF" w:themeFill="background1"/>
          </w:tcPr>
          <w:p w14:paraId="0C129E07" w14:textId="316AB74A" w:rsidR="001D5ABF" w:rsidRPr="00D02B91" w:rsidRDefault="001D5ABF" w:rsidP="008607BA">
            <w:pPr>
              <w:jc w:val="center"/>
              <w:rPr>
                <w:rFonts w:ascii="Arial Narrow" w:hAnsi="Arial Narrow"/>
                <w:b/>
                <w:sz w:val="22"/>
                <w:szCs w:val="22"/>
              </w:rPr>
            </w:pPr>
            <w:r w:rsidRPr="00D02B91">
              <w:rPr>
                <w:rFonts w:ascii="Arial Narrow" w:hAnsi="Arial Narrow"/>
                <w:b/>
                <w:sz w:val="22"/>
                <w:szCs w:val="22"/>
              </w:rPr>
              <w:t>No</w:t>
            </w:r>
          </w:p>
        </w:tc>
        <w:tc>
          <w:tcPr>
            <w:tcW w:w="1109" w:type="pct"/>
            <w:shd w:val="clear" w:color="auto" w:fill="FFFFFF" w:themeFill="background1"/>
          </w:tcPr>
          <w:p w14:paraId="414523FF" w14:textId="77777777" w:rsidR="001D5ABF" w:rsidRPr="00D02B91" w:rsidRDefault="001D5ABF" w:rsidP="008607BA">
            <w:pPr>
              <w:jc w:val="center"/>
              <w:rPr>
                <w:rFonts w:ascii="Arial Narrow" w:hAnsi="Arial Narrow"/>
                <w:b/>
                <w:sz w:val="22"/>
                <w:szCs w:val="22"/>
              </w:rPr>
            </w:pPr>
          </w:p>
        </w:tc>
        <w:tc>
          <w:tcPr>
            <w:tcW w:w="474" w:type="pct"/>
            <w:shd w:val="clear" w:color="auto" w:fill="FFFFFF" w:themeFill="background1"/>
          </w:tcPr>
          <w:p w14:paraId="1482C2FC" w14:textId="77777777" w:rsidR="001D5ABF" w:rsidRPr="00D02B91" w:rsidRDefault="001D5ABF" w:rsidP="008607BA">
            <w:pPr>
              <w:jc w:val="center"/>
              <w:rPr>
                <w:rFonts w:ascii="Arial Narrow" w:hAnsi="Arial Narrow"/>
                <w:b/>
                <w:sz w:val="22"/>
                <w:szCs w:val="22"/>
              </w:rPr>
            </w:pPr>
          </w:p>
        </w:tc>
      </w:tr>
      <w:tr w:rsidR="001D5ABF" w:rsidRPr="00D02B91" w14:paraId="3687C5C3" w14:textId="77777777" w:rsidTr="00941E4B">
        <w:trPr>
          <w:cantSplit/>
          <w:trHeight w:val="318"/>
          <w:jc w:val="center"/>
        </w:trPr>
        <w:tc>
          <w:tcPr>
            <w:tcW w:w="246" w:type="pct"/>
            <w:shd w:val="clear" w:color="auto" w:fill="FFFFFF" w:themeFill="background1"/>
          </w:tcPr>
          <w:p w14:paraId="59A6AB63" w14:textId="2D5A64F2" w:rsidR="001D5ABF" w:rsidRPr="00D02B91" w:rsidRDefault="00C12CEF" w:rsidP="001D5ABF">
            <w:pPr>
              <w:jc w:val="center"/>
              <w:rPr>
                <w:rFonts w:ascii="Arial Narrow" w:hAnsi="Arial Narrow"/>
                <w:b/>
                <w:sz w:val="22"/>
                <w:szCs w:val="22"/>
              </w:rPr>
            </w:pPr>
            <w:r>
              <w:rPr>
                <w:rFonts w:ascii="Arial Narrow" w:hAnsi="Arial Narrow"/>
                <w:b/>
                <w:sz w:val="22"/>
                <w:szCs w:val="22"/>
              </w:rPr>
              <w:t>19</w:t>
            </w:r>
          </w:p>
        </w:tc>
        <w:tc>
          <w:tcPr>
            <w:tcW w:w="544" w:type="pct"/>
            <w:shd w:val="clear" w:color="auto" w:fill="FFFFFF" w:themeFill="background1"/>
          </w:tcPr>
          <w:p w14:paraId="6A09E3C8" w14:textId="6D676BE8"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September 202</w:t>
            </w:r>
            <w:r w:rsidR="00D02B91" w:rsidRPr="00D02B91">
              <w:rPr>
                <w:rFonts w:ascii="Arial Narrow" w:hAnsi="Arial Narrow"/>
                <w:b/>
                <w:sz w:val="22"/>
                <w:szCs w:val="22"/>
              </w:rPr>
              <w:t>7</w:t>
            </w:r>
          </w:p>
        </w:tc>
        <w:tc>
          <w:tcPr>
            <w:tcW w:w="1140" w:type="pct"/>
            <w:shd w:val="clear" w:color="auto" w:fill="FFFFFF" w:themeFill="background1"/>
          </w:tcPr>
          <w:p w14:paraId="1874624D" w14:textId="2A76D9BD" w:rsidR="001D5ABF" w:rsidRPr="00D02B91" w:rsidRDefault="001D5ABF" w:rsidP="001D5ABF">
            <w:pPr>
              <w:jc w:val="center"/>
              <w:rPr>
                <w:rFonts w:ascii="Arial Narrow" w:hAnsi="Arial Narrow"/>
                <w:b/>
                <w:bCs/>
                <w:sz w:val="22"/>
                <w:szCs w:val="22"/>
              </w:rPr>
            </w:pPr>
            <w:r w:rsidRPr="00D02B91">
              <w:rPr>
                <w:rFonts w:ascii="Arial Narrow" w:hAnsi="Arial Narrow"/>
                <w:b/>
                <w:bCs/>
                <w:sz w:val="22"/>
                <w:szCs w:val="22"/>
              </w:rPr>
              <w:t>- STECF biennial Economic Report</w:t>
            </w:r>
          </w:p>
        </w:tc>
        <w:tc>
          <w:tcPr>
            <w:tcW w:w="842" w:type="pct"/>
            <w:shd w:val="clear" w:color="auto" w:fill="FFFFFF" w:themeFill="background1"/>
          </w:tcPr>
          <w:p w14:paraId="072D9C45" w14:textId="77777777"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 xml:space="preserve">Working Group 1 </w:t>
            </w:r>
          </w:p>
          <w:p w14:paraId="43EBD400" w14:textId="7BD0AC59"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Physical (Brussels)</w:t>
            </w:r>
          </w:p>
        </w:tc>
        <w:tc>
          <w:tcPr>
            <w:tcW w:w="644" w:type="pct"/>
            <w:shd w:val="clear" w:color="auto" w:fill="FFFFFF" w:themeFill="background1"/>
          </w:tcPr>
          <w:p w14:paraId="4930EE66" w14:textId="70A84EA2" w:rsidR="001D5ABF" w:rsidRPr="00D02B91" w:rsidRDefault="00410836" w:rsidP="001D5ABF">
            <w:pPr>
              <w:jc w:val="center"/>
              <w:rPr>
                <w:rFonts w:ascii="Arial Narrow" w:hAnsi="Arial Narrow"/>
                <w:b/>
                <w:sz w:val="22"/>
                <w:szCs w:val="22"/>
              </w:rPr>
            </w:pPr>
            <w:r w:rsidRPr="00D02B91">
              <w:rPr>
                <w:rFonts w:ascii="Arial Narrow" w:hAnsi="Arial Narrow"/>
                <w:b/>
                <w:sz w:val="22"/>
                <w:szCs w:val="22"/>
              </w:rPr>
              <w:t>No</w:t>
            </w:r>
          </w:p>
        </w:tc>
        <w:tc>
          <w:tcPr>
            <w:tcW w:w="1109" w:type="pct"/>
            <w:shd w:val="clear" w:color="auto" w:fill="FFFFFF" w:themeFill="background1"/>
          </w:tcPr>
          <w:p w14:paraId="75369632" w14:textId="636572ED" w:rsidR="001D5ABF" w:rsidRPr="00D02B91" w:rsidRDefault="001D5ABF" w:rsidP="004A3DCA">
            <w:pPr>
              <w:jc w:val="center"/>
              <w:rPr>
                <w:rFonts w:ascii="Arial Narrow" w:hAnsi="Arial Narrow"/>
                <w:b/>
                <w:sz w:val="22"/>
                <w:szCs w:val="22"/>
              </w:rPr>
            </w:pPr>
          </w:p>
        </w:tc>
        <w:tc>
          <w:tcPr>
            <w:tcW w:w="474" w:type="pct"/>
            <w:shd w:val="clear" w:color="auto" w:fill="FFFFFF" w:themeFill="background1"/>
          </w:tcPr>
          <w:p w14:paraId="4A2CDF85" w14:textId="3CAE2D10" w:rsidR="001D5ABF" w:rsidRPr="00D02B91" w:rsidRDefault="001D5ABF" w:rsidP="001D5ABF">
            <w:pPr>
              <w:jc w:val="center"/>
              <w:rPr>
                <w:rFonts w:ascii="Arial Narrow" w:hAnsi="Arial Narrow"/>
                <w:b/>
                <w:sz w:val="22"/>
                <w:szCs w:val="22"/>
              </w:rPr>
            </w:pPr>
          </w:p>
        </w:tc>
      </w:tr>
      <w:tr w:rsidR="001D5ABF" w:rsidRPr="00D02B91" w14:paraId="5BC57644" w14:textId="77777777" w:rsidTr="00941E4B">
        <w:trPr>
          <w:cantSplit/>
          <w:trHeight w:val="318"/>
          <w:jc w:val="center"/>
        </w:trPr>
        <w:tc>
          <w:tcPr>
            <w:tcW w:w="246" w:type="pct"/>
            <w:shd w:val="clear" w:color="auto" w:fill="FFFFFF" w:themeFill="background1"/>
          </w:tcPr>
          <w:p w14:paraId="5FD10E16" w14:textId="37CB6C72" w:rsidR="001D5ABF" w:rsidRPr="00D02B91" w:rsidRDefault="00C516EB" w:rsidP="001D5ABF">
            <w:pPr>
              <w:jc w:val="center"/>
              <w:rPr>
                <w:rFonts w:ascii="Arial Narrow" w:hAnsi="Arial Narrow"/>
                <w:b/>
                <w:sz w:val="22"/>
                <w:szCs w:val="22"/>
              </w:rPr>
            </w:pPr>
            <w:r w:rsidRPr="00D02B91">
              <w:rPr>
                <w:rFonts w:ascii="Arial Narrow" w:hAnsi="Arial Narrow"/>
                <w:b/>
                <w:sz w:val="22"/>
                <w:szCs w:val="22"/>
              </w:rPr>
              <w:t>2</w:t>
            </w:r>
            <w:r w:rsidR="00C12CEF">
              <w:rPr>
                <w:rFonts w:ascii="Arial Narrow" w:hAnsi="Arial Narrow"/>
                <w:b/>
                <w:sz w:val="22"/>
                <w:szCs w:val="22"/>
              </w:rPr>
              <w:t>0</w:t>
            </w:r>
          </w:p>
        </w:tc>
        <w:tc>
          <w:tcPr>
            <w:tcW w:w="544" w:type="pct"/>
            <w:shd w:val="clear" w:color="auto" w:fill="FFFFFF" w:themeFill="background1"/>
          </w:tcPr>
          <w:p w14:paraId="72164319" w14:textId="25343B48"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September 202</w:t>
            </w:r>
            <w:r w:rsidR="00D02B91" w:rsidRPr="00D02B91">
              <w:rPr>
                <w:rFonts w:ascii="Arial Narrow" w:hAnsi="Arial Narrow"/>
                <w:b/>
                <w:sz w:val="22"/>
                <w:szCs w:val="22"/>
              </w:rPr>
              <w:t>7</w:t>
            </w:r>
          </w:p>
        </w:tc>
        <w:tc>
          <w:tcPr>
            <w:tcW w:w="1140" w:type="pct"/>
            <w:shd w:val="clear" w:color="auto" w:fill="FFFFFF" w:themeFill="background1"/>
          </w:tcPr>
          <w:p w14:paraId="5B18FF81" w14:textId="7160CAD8" w:rsidR="001D5ABF" w:rsidRPr="00D02B91" w:rsidRDefault="001D5ABF" w:rsidP="001D5ABF">
            <w:pPr>
              <w:jc w:val="center"/>
              <w:rPr>
                <w:rFonts w:ascii="Arial Narrow" w:hAnsi="Arial Narrow"/>
                <w:b/>
                <w:bCs/>
                <w:sz w:val="22"/>
                <w:szCs w:val="22"/>
              </w:rPr>
            </w:pPr>
            <w:r w:rsidRPr="00D02B91">
              <w:rPr>
                <w:rFonts w:ascii="Arial Narrow" w:hAnsi="Arial Narrow"/>
                <w:b/>
                <w:bCs/>
                <w:sz w:val="22"/>
                <w:szCs w:val="22"/>
              </w:rPr>
              <w:t>- Trade</w:t>
            </w:r>
          </w:p>
        </w:tc>
        <w:tc>
          <w:tcPr>
            <w:tcW w:w="842" w:type="pct"/>
            <w:shd w:val="clear" w:color="auto" w:fill="FFFFFF" w:themeFill="background1"/>
          </w:tcPr>
          <w:p w14:paraId="0F70D5C2" w14:textId="77777777"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 xml:space="preserve">Working Group 2 </w:t>
            </w:r>
          </w:p>
          <w:p w14:paraId="690EE794" w14:textId="76C53E07"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Physical (Brussels)</w:t>
            </w:r>
          </w:p>
        </w:tc>
        <w:tc>
          <w:tcPr>
            <w:tcW w:w="644" w:type="pct"/>
            <w:shd w:val="clear" w:color="auto" w:fill="FFFFFF" w:themeFill="background1"/>
          </w:tcPr>
          <w:p w14:paraId="7BD7124C" w14:textId="2F6A94F3"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04E5DF48" w14:textId="79B803F8" w:rsidR="001D5ABF" w:rsidRPr="00D02B91" w:rsidRDefault="001D5ABF" w:rsidP="001D5ABF">
            <w:pPr>
              <w:jc w:val="center"/>
              <w:rPr>
                <w:rFonts w:ascii="Arial Narrow" w:hAnsi="Arial Narrow"/>
                <w:b/>
                <w:bCs/>
                <w:sz w:val="22"/>
                <w:szCs w:val="22"/>
              </w:rPr>
            </w:pPr>
            <w:r w:rsidRPr="00D02B91">
              <w:rPr>
                <w:rFonts w:ascii="Arial Narrow" w:hAnsi="Arial Narrow"/>
                <w:b/>
                <w:bCs/>
                <w:sz w:val="22"/>
                <w:szCs w:val="22"/>
              </w:rPr>
              <w:t>- Update on trade developments</w:t>
            </w:r>
          </w:p>
        </w:tc>
        <w:tc>
          <w:tcPr>
            <w:tcW w:w="474" w:type="pct"/>
            <w:shd w:val="clear" w:color="auto" w:fill="FFFFFF" w:themeFill="background1"/>
          </w:tcPr>
          <w:p w14:paraId="01B36F67" w14:textId="4F30092B"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2</w:t>
            </w:r>
          </w:p>
        </w:tc>
      </w:tr>
      <w:tr w:rsidR="001D5ABF" w:rsidRPr="00D02B91" w14:paraId="7C5C5048" w14:textId="77777777" w:rsidTr="00941E4B">
        <w:trPr>
          <w:cantSplit/>
          <w:trHeight w:val="318"/>
          <w:jc w:val="center"/>
        </w:trPr>
        <w:tc>
          <w:tcPr>
            <w:tcW w:w="246" w:type="pct"/>
            <w:shd w:val="clear" w:color="auto" w:fill="FFFFFF" w:themeFill="background1"/>
          </w:tcPr>
          <w:p w14:paraId="4C6BEE0E" w14:textId="74A293C9" w:rsidR="001D5ABF" w:rsidRPr="00D02B91" w:rsidRDefault="00C516EB" w:rsidP="001D5ABF">
            <w:pPr>
              <w:jc w:val="center"/>
              <w:rPr>
                <w:rFonts w:ascii="Arial Narrow" w:hAnsi="Arial Narrow"/>
                <w:b/>
                <w:sz w:val="22"/>
                <w:szCs w:val="22"/>
              </w:rPr>
            </w:pPr>
            <w:r w:rsidRPr="00D02B91">
              <w:rPr>
                <w:rFonts w:ascii="Arial Narrow" w:hAnsi="Arial Narrow"/>
                <w:b/>
                <w:sz w:val="22"/>
                <w:szCs w:val="22"/>
              </w:rPr>
              <w:lastRenderedPageBreak/>
              <w:t>2</w:t>
            </w:r>
            <w:r w:rsidR="00C12CEF">
              <w:rPr>
                <w:rFonts w:ascii="Arial Narrow" w:hAnsi="Arial Narrow"/>
                <w:b/>
                <w:sz w:val="22"/>
                <w:szCs w:val="22"/>
              </w:rPr>
              <w:t>1</w:t>
            </w:r>
          </w:p>
        </w:tc>
        <w:tc>
          <w:tcPr>
            <w:tcW w:w="544" w:type="pct"/>
            <w:shd w:val="clear" w:color="auto" w:fill="FFFFFF" w:themeFill="background1"/>
          </w:tcPr>
          <w:p w14:paraId="6398657A" w14:textId="3D9B48AF"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September 202</w:t>
            </w:r>
            <w:r w:rsidR="00D02B91" w:rsidRPr="00D02B91">
              <w:rPr>
                <w:rFonts w:ascii="Arial Narrow" w:hAnsi="Arial Narrow"/>
                <w:b/>
                <w:sz w:val="22"/>
                <w:szCs w:val="22"/>
              </w:rPr>
              <w:t>7</w:t>
            </w:r>
          </w:p>
        </w:tc>
        <w:tc>
          <w:tcPr>
            <w:tcW w:w="1140" w:type="pct"/>
            <w:shd w:val="clear" w:color="auto" w:fill="FFFFFF" w:themeFill="background1"/>
          </w:tcPr>
          <w:p w14:paraId="6879E3B7" w14:textId="3088C2AD" w:rsidR="001D5ABF" w:rsidRPr="00D02B91" w:rsidRDefault="004A3DCA" w:rsidP="001D5ABF">
            <w:pPr>
              <w:jc w:val="center"/>
              <w:rPr>
                <w:rFonts w:ascii="Arial Narrow" w:hAnsi="Arial Narrow"/>
                <w:b/>
                <w:bCs/>
                <w:sz w:val="22"/>
                <w:szCs w:val="22"/>
              </w:rPr>
            </w:pPr>
            <w:r w:rsidRPr="00D02B91">
              <w:rPr>
                <w:rFonts w:ascii="Arial Narrow" w:hAnsi="Arial Narrow"/>
                <w:b/>
                <w:sz w:val="22"/>
                <w:szCs w:val="22"/>
              </w:rPr>
              <w:t xml:space="preserve">- </w:t>
            </w:r>
            <w:r w:rsidR="00C150CC" w:rsidRPr="00D02B91">
              <w:rPr>
                <w:rFonts w:ascii="Arial Narrow" w:hAnsi="Arial Narrow"/>
                <w:b/>
                <w:sz w:val="22"/>
                <w:szCs w:val="22"/>
              </w:rPr>
              <w:t>Hygiene and sanitary issues</w:t>
            </w:r>
          </w:p>
        </w:tc>
        <w:tc>
          <w:tcPr>
            <w:tcW w:w="842" w:type="pct"/>
            <w:shd w:val="clear" w:color="auto" w:fill="FFFFFF" w:themeFill="background1"/>
          </w:tcPr>
          <w:p w14:paraId="07E9887C" w14:textId="77777777"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 xml:space="preserve">Working Group 3 </w:t>
            </w:r>
          </w:p>
          <w:p w14:paraId="2721E0FD" w14:textId="2525ACEE"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Physical (Brussels)</w:t>
            </w:r>
          </w:p>
        </w:tc>
        <w:tc>
          <w:tcPr>
            <w:tcW w:w="644" w:type="pct"/>
            <w:shd w:val="clear" w:color="auto" w:fill="FFFFFF" w:themeFill="background1"/>
          </w:tcPr>
          <w:p w14:paraId="59C106E7" w14:textId="63A8F4EC"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Yes</w:t>
            </w:r>
          </w:p>
        </w:tc>
        <w:tc>
          <w:tcPr>
            <w:tcW w:w="1109" w:type="pct"/>
            <w:shd w:val="clear" w:color="auto" w:fill="FFFFFF" w:themeFill="background1"/>
          </w:tcPr>
          <w:p w14:paraId="5D32A036" w14:textId="49EF6FDB" w:rsidR="001D5ABF" w:rsidRPr="00D02B91" w:rsidRDefault="004A3DCA" w:rsidP="001D5ABF">
            <w:pPr>
              <w:jc w:val="center"/>
              <w:rPr>
                <w:rFonts w:ascii="Arial Narrow" w:hAnsi="Arial Narrow"/>
                <w:b/>
                <w:sz w:val="22"/>
                <w:szCs w:val="22"/>
              </w:rPr>
            </w:pPr>
            <w:r w:rsidRPr="00D02B91">
              <w:rPr>
                <w:rFonts w:ascii="Arial Narrow" w:hAnsi="Arial Narrow"/>
                <w:b/>
                <w:sz w:val="22"/>
                <w:szCs w:val="22"/>
              </w:rPr>
              <w:t xml:space="preserve">- </w:t>
            </w:r>
            <w:r w:rsidR="00C150CC" w:rsidRPr="00D02B91">
              <w:rPr>
                <w:rFonts w:ascii="Arial Narrow" w:hAnsi="Arial Narrow"/>
                <w:b/>
                <w:sz w:val="22"/>
                <w:szCs w:val="22"/>
              </w:rPr>
              <w:t>Update on hygiene and sanitary issues</w:t>
            </w:r>
          </w:p>
        </w:tc>
        <w:tc>
          <w:tcPr>
            <w:tcW w:w="474" w:type="pct"/>
            <w:shd w:val="clear" w:color="auto" w:fill="FFFFFF" w:themeFill="background1"/>
          </w:tcPr>
          <w:p w14:paraId="7A391EB7" w14:textId="00DC9257"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2</w:t>
            </w:r>
          </w:p>
        </w:tc>
      </w:tr>
      <w:tr w:rsidR="001D5ABF" w:rsidRPr="00D02B91" w14:paraId="347236DE" w14:textId="77777777" w:rsidTr="00941E4B">
        <w:trPr>
          <w:cantSplit/>
          <w:trHeight w:val="318"/>
          <w:jc w:val="center"/>
        </w:trPr>
        <w:tc>
          <w:tcPr>
            <w:tcW w:w="246" w:type="pct"/>
            <w:shd w:val="clear" w:color="auto" w:fill="FFFFFF" w:themeFill="background1"/>
          </w:tcPr>
          <w:p w14:paraId="7B207EDB" w14:textId="28550125" w:rsidR="001D5ABF" w:rsidRPr="00D02B91" w:rsidRDefault="00C516EB" w:rsidP="001D5ABF">
            <w:pPr>
              <w:jc w:val="center"/>
              <w:rPr>
                <w:rFonts w:ascii="Arial Narrow" w:hAnsi="Arial Narrow"/>
                <w:b/>
                <w:sz w:val="22"/>
                <w:szCs w:val="22"/>
              </w:rPr>
            </w:pPr>
            <w:r w:rsidRPr="00D02B91">
              <w:rPr>
                <w:rFonts w:ascii="Arial Narrow" w:hAnsi="Arial Narrow"/>
                <w:b/>
                <w:sz w:val="22"/>
                <w:szCs w:val="22"/>
              </w:rPr>
              <w:t>2</w:t>
            </w:r>
            <w:r w:rsidR="00C12CEF">
              <w:rPr>
                <w:rFonts w:ascii="Arial Narrow" w:hAnsi="Arial Narrow"/>
                <w:b/>
                <w:sz w:val="22"/>
                <w:szCs w:val="22"/>
              </w:rPr>
              <w:t>2</w:t>
            </w:r>
          </w:p>
        </w:tc>
        <w:tc>
          <w:tcPr>
            <w:tcW w:w="544" w:type="pct"/>
            <w:shd w:val="clear" w:color="auto" w:fill="FFFFFF" w:themeFill="background1"/>
          </w:tcPr>
          <w:p w14:paraId="28AF9C42" w14:textId="7DBE9F80"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September 202</w:t>
            </w:r>
            <w:r w:rsidR="00D02B91" w:rsidRPr="00D02B91">
              <w:rPr>
                <w:rFonts w:ascii="Arial Narrow" w:hAnsi="Arial Narrow"/>
                <w:b/>
                <w:sz w:val="22"/>
                <w:szCs w:val="22"/>
              </w:rPr>
              <w:t>7</w:t>
            </w:r>
          </w:p>
        </w:tc>
        <w:tc>
          <w:tcPr>
            <w:tcW w:w="1140" w:type="pct"/>
            <w:shd w:val="clear" w:color="auto" w:fill="FFFFFF" w:themeFill="background1"/>
          </w:tcPr>
          <w:p w14:paraId="3805E716" w14:textId="77777777"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 Update on work done and finances</w:t>
            </w:r>
          </w:p>
          <w:p w14:paraId="740A5DD3" w14:textId="77777777" w:rsidR="001D5ABF" w:rsidRPr="00D02B91" w:rsidRDefault="001D5ABF" w:rsidP="001D5ABF">
            <w:pPr>
              <w:jc w:val="center"/>
              <w:rPr>
                <w:rFonts w:ascii="Arial Narrow" w:hAnsi="Arial Narrow"/>
                <w:b/>
                <w:bCs/>
                <w:sz w:val="22"/>
                <w:szCs w:val="22"/>
              </w:rPr>
            </w:pPr>
          </w:p>
        </w:tc>
        <w:tc>
          <w:tcPr>
            <w:tcW w:w="842" w:type="pct"/>
            <w:shd w:val="clear" w:color="auto" w:fill="FFFFFF" w:themeFill="background1"/>
          </w:tcPr>
          <w:p w14:paraId="3167DC8F" w14:textId="77777777"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Executive Committee</w:t>
            </w:r>
          </w:p>
          <w:p w14:paraId="4CBE5D4A" w14:textId="78853954"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Physical (Brussels)</w:t>
            </w:r>
          </w:p>
        </w:tc>
        <w:tc>
          <w:tcPr>
            <w:tcW w:w="644" w:type="pct"/>
            <w:shd w:val="clear" w:color="auto" w:fill="FFFFFF" w:themeFill="background1"/>
          </w:tcPr>
          <w:p w14:paraId="3E0DC09E" w14:textId="066DF3DD" w:rsidR="001D5ABF" w:rsidRPr="00D02B91" w:rsidRDefault="001D5ABF" w:rsidP="001D5ABF">
            <w:pPr>
              <w:jc w:val="center"/>
              <w:rPr>
                <w:rFonts w:ascii="Arial Narrow" w:hAnsi="Arial Narrow"/>
                <w:b/>
                <w:sz w:val="22"/>
                <w:szCs w:val="22"/>
              </w:rPr>
            </w:pPr>
            <w:r w:rsidRPr="00D02B91">
              <w:rPr>
                <w:rFonts w:ascii="Arial Narrow" w:hAnsi="Arial Narrow"/>
                <w:b/>
                <w:sz w:val="22"/>
                <w:szCs w:val="22"/>
              </w:rPr>
              <w:t>No</w:t>
            </w:r>
          </w:p>
        </w:tc>
        <w:tc>
          <w:tcPr>
            <w:tcW w:w="1109" w:type="pct"/>
            <w:shd w:val="clear" w:color="auto" w:fill="FFFFFF" w:themeFill="background1"/>
          </w:tcPr>
          <w:p w14:paraId="30A333FB" w14:textId="77777777" w:rsidR="001D5ABF" w:rsidRPr="00D02B91" w:rsidRDefault="001D5ABF" w:rsidP="001D5ABF">
            <w:pPr>
              <w:jc w:val="center"/>
              <w:rPr>
                <w:rFonts w:ascii="Arial Narrow" w:hAnsi="Arial Narrow"/>
                <w:b/>
                <w:sz w:val="22"/>
                <w:szCs w:val="22"/>
              </w:rPr>
            </w:pPr>
          </w:p>
        </w:tc>
        <w:tc>
          <w:tcPr>
            <w:tcW w:w="474" w:type="pct"/>
            <w:shd w:val="clear" w:color="auto" w:fill="FFFFFF" w:themeFill="background1"/>
          </w:tcPr>
          <w:p w14:paraId="000E0213" w14:textId="77777777" w:rsidR="001D5ABF" w:rsidRPr="00D02B91" w:rsidRDefault="001D5ABF" w:rsidP="001D5ABF">
            <w:pPr>
              <w:jc w:val="center"/>
              <w:rPr>
                <w:rFonts w:ascii="Arial Narrow" w:hAnsi="Arial Narrow"/>
                <w:b/>
                <w:sz w:val="22"/>
                <w:szCs w:val="22"/>
              </w:rPr>
            </w:pPr>
          </w:p>
        </w:tc>
      </w:tr>
    </w:tbl>
    <w:p w14:paraId="1C589F87" w14:textId="77777777" w:rsidR="00861C8B" w:rsidRPr="001D3A29" w:rsidRDefault="00861C8B" w:rsidP="00242880">
      <w:pPr>
        <w:rPr>
          <w:rFonts w:ascii="Arial Narrow" w:hAnsi="Arial Narrow"/>
          <w:sz w:val="22"/>
          <w:szCs w:val="22"/>
        </w:rPr>
      </w:pPr>
    </w:p>
    <w:sectPr w:rsidR="00861C8B" w:rsidRPr="001D3A29" w:rsidSect="00E80EFA">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dro Reis Santos (MAC)" w:date="2026-06-23T13:21:00Z" w:initials="P">
    <w:p w14:paraId="13C3B3F5" w14:textId="77777777" w:rsidR="00B27688" w:rsidRPr="00D02B91" w:rsidRDefault="00B27688" w:rsidP="00B27688">
      <w:pPr>
        <w:pStyle w:val="CommentText"/>
      </w:pPr>
      <w:r w:rsidRPr="00D02B91">
        <w:rPr>
          <w:rStyle w:val="CommentReference"/>
        </w:rPr>
        <w:annotationRef/>
      </w:r>
      <w:r w:rsidRPr="00D02B91">
        <w:t xml:space="preserve">The campaign is foreseen under the European Ocean Pact. We will request an update from DG MARE at the 16 September 2026 meeting of WG3. The aim will be to follow up with advice. </w:t>
      </w:r>
    </w:p>
  </w:comment>
  <w:comment w:id="2" w:author="Pedro Reis Santos (MAC)" w:date="2026-06-23T13:27:00Z" w:initials="P">
    <w:p w14:paraId="6E3E2D61" w14:textId="77777777" w:rsidR="00B27688" w:rsidRPr="00D02B91" w:rsidRDefault="00B27688" w:rsidP="00B27688">
      <w:pPr>
        <w:pStyle w:val="CommentText"/>
      </w:pPr>
      <w:r w:rsidRPr="00D02B91">
        <w:rPr>
          <w:rStyle w:val="CommentReference"/>
        </w:rPr>
        <w:annotationRef/>
      </w:r>
      <w:r w:rsidRPr="00D02B91">
        <w:t xml:space="preserve">On an </w:t>
      </w:r>
      <w:r w:rsidRPr="00D02B91">
        <w:rPr>
          <w:i/>
          <w:iCs/>
        </w:rPr>
        <w:t>ad hoc</w:t>
      </w:r>
      <w:r w:rsidRPr="00D02B91">
        <w:t xml:space="preserve"> basis, as specific issues are raised by members. As examples, under Year 10, at the initiative of the members, the MAC adopted advice on PFAS contamination and on the biochemical interaction between mercury and selenium. Under the next operational year, collaboration with the CCRUP on chlordecone is expected. </w:t>
      </w:r>
    </w:p>
  </w:comment>
  <w:comment w:id="3" w:author="Pedro Reis Santos (MAC)" w:date="2026-06-23T13:28:00Z" w:initials="P">
    <w:p w14:paraId="012465C0" w14:textId="77777777" w:rsidR="00B27688" w:rsidRPr="00D02B91" w:rsidRDefault="00B27688" w:rsidP="00B27688">
      <w:pPr>
        <w:pStyle w:val="CommentText"/>
      </w:pPr>
      <w:r w:rsidRPr="00D02B91">
        <w:rPr>
          <w:rStyle w:val="CommentReference"/>
        </w:rPr>
        <w:annotationRef/>
      </w:r>
      <w:r w:rsidRPr="00D02B91">
        <w:t xml:space="preserve">The draft delegated act on traceability seems to have been pushed to September / October 2026, so the MAC would provide advice once available. </w:t>
      </w:r>
    </w:p>
  </w:comment>
  <w:comment w:id="4" w:author="Pedro Reis Santos (MAC)" w:date="2026-06-23T13:29:00Z" w:initials="P">
    <w:p w14:paraId="62CBC0D7" w14:textId="77777777" w:rsidR="00B27688" w:rsidRPr="00D02B91" w:rsidRDefault="00B27688" w:rsidP="00B27688">
      <w:pPr>
        <w:pStyle w:val="CommentText"/>
      </w:pPr>
      <w:r w:rsidRPr="00D02B91">
        <w:rPr>
          <w:rStyle w:val="CommentReference"/>
        </w:rPr>
        <w:annotationRef/>
      </w:r>
      <w:r w:rsidRPr="00D02B91">
        <w:t xml:space="preserve">The 2040 Vision and the External Strategy are expected in September 2026. There is also the expectation of follow-up actions to the evaluation of the CFP Evaluation. Therefore, the aim would be to provide advice on these initiatives. The exact timing depends on DG MARE. </w:t>
      </w:r>
    </w:p>
  </w:comment>
  <w:comment w:id="5" w:author="Pedro Reis Santos (MAC)" w:date="2026-06-23T13:32:00Z" w:initials="P">
    <w:p w14:paraId="03046056" w14:textId="77777777" w:rsidR="00D02B91" w:rsidRPr="00D02B91" w:rsidRDefault="00D02B91" w:rsidP="00D02B91">
      <w:pPr>
        <w:pStyle w:val="CommentText"/>
      </w:pPr>
      <w:r w:rsidRPr="00D02B91">
        <w:rPr>
          <w:rStyle w:val="CommentReference"/>
        </w:rPr>
        <w:annotationRef/>
      </w:r>
      <w:r w:rsidRPr="00D02B91">
        <w:t xml:space="preserve">DG MARE has multiple initiatives ongoing on competitiveness (e.g., stress testing, studies on the Fisheries Control Regulation, reality checks), which the MAC will continue to monitor. Exact timings will depend on the initiatives of DG MARE. At the moment, the MAC is preparing advice in relation to the initial assessment of MARE A4 on the CMO framework. </w:t>
      </w:r>
    </w:p>
  </w:comment>
  <w:comment w:id="6" w:author="Pedro Reis Santos (MAC)" w:date="2026-06-23T13:34:00Z" w:initials="P">
    <w:p w14:paraId="78E4AC42" w14:textId="77777777" w:rsidR="00D02B91" w:rsidRPr="00D02B91" w:rsidRDefault="00D02B91" w:rsidP="00D02B91">
      <w:pPr>
        <w:pStyle w:val="CommentText"/>
      </w:pPr>
      <w:r w:rsidRPr="00D02B91">
        <w:rPr>
          <w:rStyle w:val="CommentReference"/>
        </w:rPr>
        <w:annotationRef/>
      </w:r>
      <w:r w:rsidRPr="00D02B91">
        <w:t xml:space="preserve">On </w:t>
      </w:r>
      <w:r w:rsidRPr="00D02B91">
        <w:rPr>
          <w:i/>
          <w:iCs/>
        </w:rPr>
        <w:t>ad hoc</w:t>
      </w:r>
      <w:r w:rsidRPr="00D02B91">
        <w:t xml:space="preserve"> basis, as members indicate interest in specific cases of IUU / force labour / responsible sourcing. In the past, the MAC has adopted multiple pieces of advice following on reports published by NGO members.</w:t>
      </w:r>
    </w:p>
  </w:comment>
  <w:comment w:id="7" w:author="Pedro Reis Santos (MAC)" w:date="2026-06-23T13:35:00Z" w:initials="P">
    <w:p w14:paraId="4D8B791D" w14:textId="77777777" w:rsidR="00D02B91" w:rsidRDefault="00D02B91" w:rsidP="00D02B91">
      <w:pPr>
        <w:pStyle w:val="CommentText"/>
      </w:pPr>
      <w:r w:rsidRPr="00D02B91">
        <w:rPr>
          <w:rStyle w:val="CommentReference"/>
        </w:rPr>
        <w:annotationRef/>
      </w:r>
      <w:r w:rsidRPr="00D02B91">
        <w:t xml:space="preserve">On </w:t>
      </w:r>
      <w:r w:rsidRPr="00D02B91">
        <w:rPr>
          <w:i/>
          <w:iCs/>
        </w:rPr>
        <w:t xml:space="preserve">ad hoc </w:t>
      </w:r>
      <w:r w:rsidRPr="00D02B91">
        <w:t xml:space="preserve">basis, as members indicate interest in specific trade developments, for example the negotiations of specific Free Trade Agreements.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C3B3F5" w15:done="0"/>
  <w15:commentEx w15:paraId="6E3E2D61" w15:done="0"/>
  <w15:commentEx w15:paraId="012465C0" w15:done="0"/>
  <w15:commentEx w15:paraId="62CBC0D7" w15:done="0"/>
  <w15:commentEx w15:paraId="03046056" w15:done="0"/>
  <w15:commentEx w15:paraId="78E4AC42" w15:done="0"/>
  <w15:commentEx w15:paraId="4D8B79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6E0A73" w16cex:dateUtc="2026-06-23T11:21:00Z"/>
  <w16cex:commentExtensible w16cex:durableId="701507CC" w16cex:dateUtc="2026-06-23T11:27:00Z"/>
  <w16cex:commentExtensible w16cex:durableId="2D069B9F" w16cex:dateUtc="2026-06-23T11:28:00Z"/>
  <w16cex:commentExtensible w16cex:durableId="0A47EC14" w16cex:dateUtc="2026-06-23T11:29:00Z"/>
  <w16cex:commentExtensible w16cex:durableId="68F72AA1" w16cex:dateUtc="2026-06-23T11:32:00Z"/>
  <w16cex:commentExtensible w16cex:durableId="1161AA7B" w16cex:dateUtc="2026-06-23T11:34:00Z"/>
  <w16cex:commentExtensible w16cex:durableId="7B8BF480" w16cex:dateUtc="2026-06-23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3B3F5" w16cid:durableId="0A6E0A73"/>
  <w16cid:commentId w16cid:paraId="6E3E2D61" w16cid:durableId="701507CC"/>
  <w16cid:commentId w16cid:paraId="012465C0" w16cid:durableId="2D069B9F"/>
  <w16cid:commentId w16cid:paraId="62CBC0D7" w16cid:durableId="0A47EC14"/>
  <w16cid:commentId w16cid:paraId="03046056" w16cid:durableId="68F72AA1"/>
  <w16cid:commentId w16cid:paraId="78E4AC42" w16cid:durableId="1161AA7B"/>
  <w16cid:commentId w16cid:paraId="4D8B791D" w16cid:durableId="7B8BF4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CAA3" w14:textId="77777777" w:rsidR="003948DA" w:rsidRPr="00D02B91" w:rsidRDefault="003948DA">
      <w:r w:rsidRPr="00D02B91">
        <w:separator/>
      </w:r>
    </w:p>
  </w:endnote>
  <w:endnote w:type="continuationSeparator" w:id="0">
    <w:p w14:paraId="2FC8002B" w14:textId="77777777" w:rsidR="003948DA" w:rsidRPr="00D02B91" w:rsidRDefault="003948DA">
      <w:r w:rsidRPr="00D02B91">
        <w:continuationSeparator/>
      </w:r>
    </w:p>
  </w:endnote>
  <w:endnote w:type="continuationNotice" w:id="1">
    <w:p w14:paraId="7A47DFAA" w14:textId="77777777" w:rsidR="003948DA" w:rsidRPr="00D02B91" w:rsidRDefault="00394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9360" w14:textId="77777777" w:rsidR="00911E08" w:rsidRPr="00D02B91" w:rsidRDefault="00911E08" w:rsidP="00A2318A">
    <w:pPr>
      <w:pStyle w:val="Footer"/>
      <w:framePr w:wrap="around" w:vAnchor="text" w:hAnchor="margin" w:xAlign="right" w:y="1"/>
      <w:rPr>
        <w:rStyle w:val="PageNumber"/>
      </w:rPr>
    </w:pPr>
    <w:r w:rsidRPr="00D02B91">
      <w:rPr>
        <w:rStyle w:val="PageNumber"/>
      </w:rPr>
      <w:fldChar w:fldCharType="begin"/>
    </w:r>
    <w:r w:rsidRPr="00D02B91">
      <w:rPr>
        <w:rStyle w:val="PageNumber"/>
      </w:rPr>
      <w:instrText xml:space="preserve">PAGE  </w:instrText>
    </w:r>
    <w:r w:rsidRPr="00D02B91">
      <w:rPr>
        <w:rStyle w:val="PageNumber"/>
      </w:rPr>
      <w:fldChar w:fldCharType="end"/>
    </w:r>
  </w:p>
  <w:p w14:paraId="036F8DEA" w14:textId="77777777" w:rsidR="00911E08" w:rsidRPr="00D02B91" w:rsidRDefault="00911E08" w:rsidP="00C74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D460" w14:textId="49DB0389" w:rsidR="00911E08" w:rsidRPr="00D02B91" w:rsidRDefault="00911E08" w:rsidP="00A2318A">
    <w:pPr>
      <w:pStyle w:val="Footer"/>
      <w:framePr w:wrap="around" w:vAnchor="text" w:hAnchor="margin" w:xAlign="right" w:y="1"/>
      <w:rPr>
        <w:rStyle w:val="PageNumber"/>
      </w:rPr>
    </w:pPr>
    <w:r w:rsidRPr="00D02B91">
      <w:rPr>
        <w:rStyle w:val="PageNumber"/>
      </w:rPr>
      <w:fldChar w:fldCharType="begin"/>
    </w:r>
    <w:r w:rsidRPr="00D02B91">
      <w:rPr>
        <w:rStyle w:val="PageNumber"/>
      </w:rPr>
      <w:instrText xml:space="preserve">PAGE  </w:instrText>
    </w:r>
    <w:r w:rsidRPr="00D02B91">
      <w:rPr>
        <w:rStyle w:val="PageNumber"/>
      </w:rPr>
      <w:fldChar w:fldCharType="separate"/>
    </w:r>
    <w:r w:rsidR="00833D90" w:rsidRPr="00D02B91">
      <w:rPr>
        <w:rStyle w:val="PageNumber"/>
      </w:rPr>
      <w:t>8</w:t>
    </w:r>
    <w:r w:rsidRPr="00D02B91">
      <w:rPr>
        <w:rStyle w:val="PageNumber"/>
      </w:rPr>
      <w:fldChar w:fldCharType="end"/>
    </w:r>
  </w:p>
  <w:p w14:paraId="4AE2C7B9" w14:textId="77777777" w:rsidR="00911E08" w:rsidRPr="00D02B91" w:rsidRDefault="00911E08" w:rsidP="002D3BB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6A61" w14:textId="77777777" w:rsidR="00C34158" w:rsidRPr="00D02B91" w:rsidRDefault="00C34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3C15" w14:textId="77777777" w:rsidR="003948DA" w:rsidRPr="00D02B91" w:rsidRDefault="003948DA">
      <w:r w:rsidRPr="00D02B91">
        <w:separator/>
      </w:r>
    </w:p>
  </w:footnote>
  <w:footnote w:type="continuationSeparator" w:id="0">
    <w:p w14:paraId="55015975" w14:textId="77777777" w:rsidR="003948DA" w:rsidRPr="00D02B91" w:rsidRDefault="003948DA">
      <w:r w:rsidRPr="00D02B91">
        <w:continuationSeparator/>
      </w:r>
    </w:p>
  </w:footnote>
  <w:footnote w:type="continuationNotice" w:id="1">
    <w:p w14:paraId="1B230044" w14:textId="77777777" w:rsidR="003948DA" w:rsidRPr="00D02B91" w:rsidRDefault="003948DA"/>
  </w:footnote>
  <w:footnote w:id="2">
    <w:p w14:paraId="12BC7EE5" w14:textId="56433052" w:rsidR="008842B6" w:rsidRPr="00D02B91" w:rsidRDefault="008842B6">
      <w:pPr>
        <w:pStyle w:val="FootnoteText"/>
        <w:rPr>
          <w:rFonts w:ascii="Arial Narrow" w:hAnsi="Arial Narrow" w:cstheme="majorHAnsi"/>
        </w:rPr>
      </w:pPr>
      <w:r w:rsidRPr="00D02B91">
        <w:rPr>
          <w:rStyle w:val="FootnoteReference"/>
          <w:rFonts w:ascii="Arial Narrow" w:hAnsi="Arial Narrow" w:cstheme="majorHAnsi"/>
        </w:rPr>
        <w:footnoteRef/>
      </w:r>
      <w:r w:rsidRPr="00D02B91">
        <w:rPr>
          <w:rFonts w:ascii="Arial Narrow" w:hAnsi="Arial Narrow" w:cstheme="majorHAnsi"/>
        </w:rPr>
        <w:t xml:space="preserve"> </w:t>
      </w:r>
      <w:hyperlink r:id="rId1" w:history="1">
        <w:r w:rsidRPr="00D02B91">
          <w:rPr>
            <w:rStyle w:val="Hyperlink"/>
            <w:rFonts w:ascii="Arial Narrow" w:hAnsi="Arial Narrow" w:cstheme="majorHAnsi"/>
          </w:rPr>
          <w:t>https://marketac.eu/performance-review-2019-2022/</w:t>
        </w:r>
      </w:hyperlink>
      <w:r w:rsidRPr="00D02B91">
        <w:rPr>
          <w:rFonts w:ascii="Arial Narrow" w:hAnsi="Arial Narrow" w:cstheme="majorHAnsi"/>
        </w:rPr>
        <w:t xml:space="preserve"> </w:t>
      </w:r>
    </w:p>
  </w:footnote>
  <w:footnote w:id="3">
    <w:p w14:paraId="3C0612C1" w14:textId="1F092E3F" w:rsidR="0025384A" w:rsidRPr="00D02B91" w:rsidRDefault="0025384A">
      <w:pPr>
        <w:pStyle w:val="FootnoteText"/>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w:t>
      </w:r>
      <w:hyperlink r:id="rId2" w:history="1">
        <w:r w:rsidRPr="00D02B91">
          <w:rPr>
            <w:rStyle w:val="Hyperlink"/>
            <w:rFonts w:ascii="Arial Narrow" w:hAnsi="Arial Narrow"/>
          </w:rPr>
          <w:t>MAC Advice on “Evaluation of the Common Fisheries Policy (2014-2024)” (8 July 2025)</w:t>
        </w:r>
      </w:hyperlink>
    </w:p>
  </w:footnote>
  <w:footnote w:id="4">
    <w:p w14:paraId="7237EB6B" w14:textId="06AC2A10" w:rsidR="005A4206" w:rsidRPr="00D02B91" w:rsidRDefault="005A4206">
      <w:pPr>
        <w:pStyle w:val="FootnoteText"/>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w:t>
      </w:r>
      <w:hyperlink r:id="rId3" w:history="1">
        <w:r w:rsidRPr="00D02B91">
          <w:rPr>
            <w:rStyle w:val="Hyperlink"/>
            <w:rFonts w:ascii="Arial Narrow" w:hAnsi="Arial Narrow"/>
          </w:rPr>
          <w:t>https://eur-lex.europa.eu/legal-content/EN/ALL/?uri=comnat:COM_2025_0281_FIN</w:t>
        </w:r>
      </w:hyperlink>
      <w:r w:rsidRPr="00D02B91">
        <w:rPr>
          <w:rFonts w:ascii="Arial Narrow" w:hAnsi="Arial Narrow"/>
        </w:rPr>
        <w:t xml:space="preserve"> </w:t>
      </w:r>
    </w:p>
  </w:footnote>
  <w:footnote w:id="5">
    <w:p w14:paraId="782FC204" w14:textId="32C27C9C" w:rsidR="005324CA" w:rsidRPr="00D02B91" w:rsidRDefault="005324CA">
      <w:pPr>
        <w:pStyle w:val="FootnoteText"/>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w:t>
      </w:r>
      <w:hyperlink r:id="rId4" w:history="1">
        <w:r w:rsidRPr="00D02B91">
          <w:rPr>
            <w:rStyle w:val="Hyperlink"/>
            <w:rFonts w:ascii="Arial Narrow" w:hAnsi="Arial Narrow"/>
          </w:rPr>
          <w:t>https://commission.europa.eu/topics/eu-competitiveness/competitiveness-compass_en</w:t>
        </w:r>
      </w:hyperlink>
      <w:r w:rsidRPr="00D02B91">
        <w:rPr>
          <w:rFonts w:ascii="Arial Narrow" w:hAnsi="Arial Narrow"/>
        </w:rPr>
        <w:t xml:space="preserve"> </w:t>
      </w:r>
    </w:p>
  </w:footnote>
  <w:footnote w:id="6">
    <w:p w14:paraId="0E6D8299" w14:textId="7A569AA5" w:rsidR="005324CA" w:rsidRPr="00D02B91" w:rsidRDefault="005324CA">
      <w:pPr>
        <w:pStyle w:val="FootnoteText"/>
        <w:rPr>
          <w:rFonts w:asciiTheme="majorHAnsi" w:hAnsiTheme="majorHAnsi" w:cstheme="majorHAnsi"/>
        </w:rPr>
      </w:pPr>
      <w:r w:rsidRPr="00D02B91">
        <w:rPr>
          <w:rStyle w:val="FootnoteReference"/>
          <w:rFonts w:asciiTheme="majorHAnsi" w:hAnsiTheme="majorHAnsi" w:cstheme="majorHAnsi"/>
        </w:rPr>
        <w:footnoteRef/>
      </w:r>
      <w:r w:rsidRPr="00D02B91">
        <w:rPr>
          <w:rFonts w:asciiTheme="majorHAnsi" w:hAnsiTheme="majorHAnsi" w:cstheme="majorHAnsi"/>
        </w:rPr>
        <w:t xml:space="preserve"> </w:t>
      </w:r>
      <w:hyperlink r:id="rId5" w:history="1">
        <w:r w:rsidRPr="00D02B91">
          <w:rPr>
            <w:rStyle w:val="Hyperlink"/>
            <w:rFonts w:asciiTheme="majorHAnsi" w:hAnsiTheme="majorHAnsi" w:cstheme="majorHAnsi"/>
          </w:rPr>
          <w:t>https://eur-lex.europa.eu/legal-content/EN/TXT/?uri=celex:52025DC0047</w:t>
        </w:r>
      </w:hyperlink>
      <w:r w:rsidRPr="00D02B91">
        <w:rPr>
          <w:rFonts w:asciiTheme="majorHAnsi" w:hAnsiTheme="majorHAnsi" w:cstheme="majorHAnsi"/>
        </w:rPr>
        <w:t xml:space="preserve"> </w:t>
      </w:r>
    </w:p>
  </w:footnote>
  <w:footnote w:id="7">
    <w:p w14:paraId="59E441E5" w14:textId="59E777AE" w:rsidR="001D3A29" w:rsidRPr="00D02B91" w:rsidRDefault="001D3A29" w:rsidP="001D3A29">
      <w:pPr>
        <w:pStyle w:val="FootnoteText"/>
        <w:jc w:val="both"/>
        <w:rPr>
          <w:rFonts w:ascii="Arial Narrow" w:hAnsi="Arial Narrow" w:cstheme="majorHAnsi"/>
        </w:rPr>
      </w:pPr>
      <w:r w:rsidRPr="00D02B91">
        <w:rPr>
          <w:rStyle w:val="FootnoteReference"/>
          <w:rFonts w:ascii="Arial Narrow" w:hAnsi="Arial Narrow" w:cstheme="majorHAnsi"/>
        </w:rPr>
        <w:footnoteRef/>
      </w:r>
      <w:r w:rsidRPr="00D02B91">
        <w:rPr>
          <w:rFonts w:ascii="Arial Narrow" w:hAnsi="Arial Narrow" w:cstheme="majorHAnsi"/>
        </w:rPr>
        <w:t xml:space="preserve"> </w:t>
      </w:r>
      <w:hyperlink r:id="rId6" w:history="1">
        <w:r w:rsidRPr="00D02B91">
          <w:rPr>
            <w:rStyle w:val="Hyperlink"/>
            <w:rFonts w:ascii="Arial Narrow" w:hAnsi="Arial Narrow" w:cstheme="majorHAnsi"/>
          </w:rPr>
          <w:t>MAC Advice on “MAC's advice on competitiveness of the EU Market of Fishery and Aquaculture Products – Simplification and reduction of administrative burden” (24 March 2026)</w:t>
        </w:r>
      </w:hyperlink>
      <w:r w:rsidRPr="00D02B91">
        <w:rPr>
          <w:rFonts w:ascii="Arial Narrow" w:hAnsi="Arial Narrow" w:cstheme="majorHAnsi"/>
        </w:rPr>
        <w:t xml:space="preserve"> </w:t>
      </w:r>
    </w:p>
  </w:footnote>
  <w:footnote w:id="8">
    <w:p w14:paraId="4593B432" w14:textId="2CA8B3C7" w:rsidR="001D3A29" w:rsidRPr="00D02B91" w:rsidRDefault="001D3A29" w:rsidP="001D3A29">
      <w:pPr>
        <w:pStyle w:val="FootnoteText"/>
        <w:jc w:val="both"/>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w:t>
      </w:r>
      <w:hyperlink r:id="rId7" w:history="1">
        <w:r w:rsidRPr="00D02B91">
          <w:rPr>
            <w:rStyle w:val="Hyperlink"/>
            <w:rFonts w:ascii="Arial Narrow" w:hAnsi="Arial Narrow"/>
          </w:rPr>
          <w:t>MAC Advice on “Competitiveness of the EU Market of Fishery and Aquaculture Products – Upcoming studies on the Fisheries Control Regulation” (26 May 2026)</w:t>
        </w:r>
      </w:hyperlink>
    </w:p>
  </w:footnote>
  <w:footnote w:id="9">
    <w:p w14:paraId="439372E3" w14:textId="4E7F0422" w:rsidR="002408DF" w:rsidRPr="00D02B91" w:rsidRDefault="002408DF" w:rsidP="001D3A29">
      <w:pPr>
        <w:pStyle w:val="FootnoteText"/>
        <w:jc w:val="both"/>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w:t>
      </w:r>
      <w:hyperlink r:id="rId8" w:history="1">
        <w:r w:rsidR="001D3A29" w:rsidRPr="00D02B91">
          <w:rPr>
            <w:rStyle w:val="Hyperlink"/>
            <w:rFonts w:ascii="Arial Narrow" w:hAnsi="Arial Narrow"/>
          </w:rPr>
          <w:t>MAC Advice on “Integration of sustainability criteria under the regime of Autonomous Tariff Quotas for certain fishery products” (28 April 2025)</w:t>
        </w:r>
      </w:hyperlink>
    </w:p>
  </w:footnote>
  <w:footnote w:id="10">
    <w:p w14:paraId="3D0ADC31" w14:textId="589FB882" w:rsidR="006847AF" w:rsidRPr="00D02B91" w:rsidRDefault="006847AF" w:rsidP="001D3A29">
      <w:pPr>
        <w:pStyle w:val="FootnoteText"/>
        <w:jc w:val="both"/>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E.g., </w:t>
      </w:r>
      <w:hyperlink r:id="rId9" w:history="1">
        <w:r w:rsidR="001D3A29" w:rsidRPr="00D02B91">
          <w:rPr>
            <w:rStyle w:val="Hyperlink"/>
            <w:rFonts w:ascii="Arial Narrow" w:hAnsi="Arial Narrow"/>
          </w:rPr>
          <w:t xml:space="preserve">MAC-CCRUP Advice on “Illegal, Unreported and Unregulated Fishing in the Outermost Regions of the European Union” </w:t>
        </w:r>
        <w:r w:rsidR="002408DF" w:rsidRPr="00D02B91">
          <w:rPr>
            <w:rStyle w:val="Hyperlink"/>
            <w:rFonts w:ascii="Arial Narrow" w:hAnsi="Arial Narrow"/>
          </w:rPr>
          <w:t xml:space="preserve"> </w:t>
        </w:r>
        <w:r w:rsidR="001D3A29" w:rsidRPr="00D02B91">
          <w:rPr>
            <w:rStyle w:val="Hyperlink"/>
            <w:rFonts w:ascii="Arial Narrow" w:hAnsi="Arial Narrow"/>
          </w:rPr>
          <w:t>(21 May 2025)</w:t>
        </w:r>
      </w:hyperlink>
    </w:p>
  </w:footnote>
  <w:footnote w:id="11">
    <w:p w14:paraId="40833377" w14:textId="4CAC2704" w:rsidR="008902FD" w:rsidRPr="00D02B91" w:rsidRDefault="008902FD">
      <w:pPr>
        <w:pStyle w:val="FootnoteText"/>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E.g., </w:t>
      </w:r>
      <w:hyperlink r:id="rId10" w:history="1">
        <w:r w:rsidR="00DB5374" w:rsidRPr="00D02B91">
          <w:rPr>
            <w:rStyle w:val="Hyperlink"/>
            <w:rFonts w:ascii="Arial Narrow" w:hAnsi="Arial Narrow"/>
          </w:rPr>
          <w:t>MAC Advice on “Forced Labour in the Fisheries and Aquaculture Market” (30 November 2023)</w:t>
        </w:r>
      </w:hyperlink>
      <w:r w:rsidRPr="00D02B91">
        <w:rPr>
          <w:rFonts w:ascii="Arial Narrow" w:hAnsi="Arial Narrow"/>
        </w:rPr>
        <w:t xml:space="preserve"> </w:t>
      </w:r>
    </w:p>
  </w:footnote>
  <w:footnote w:id="12">
    <w:p w14:paraId="2125C7B6" w14:textId="525C55BE" w:rsidR="008902FD" w:rsidRPr="00D02B91" w:rsidRDefault="008902FD" w:rsidP="00DB5374">
      <w:pPr>
        <w:pStyle w:val="FootnoteText"/>
        <w:jc w:val="both"/>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w:t>
      </w:r>
      <w:r w:rsidR="00DB5374" w:rsidRPr="00D02B91">
        <w:rPr>
          <w:rFonts w:ascii="Arial Narrow" w:hAnsi="Arial Narrow"/>
        </w:rPr>
        <w:t xml:space="preserve">E.g., </w:t>
      </w:r>
      <w:hyperlink r:id="rId11" w:history="1">
        <w:r w:rsidR="00DB5374" w:rsidRPr="00D02B91">
          <w:rPr>
            <w:rStyle w:val="Hyperlink"/>
            <w:rFonts w:ascii="Arial Narrow" w:hAnsi="Arial Narrow"/>
          </w:rPr>
          <w:t>MAC Advice on “European Market Observatory for Fisheries and Aquaculture (EUMOFA): Suggestions of studies to be integrated in the Work Programme (2025)” (1 September 2025)</w:t>
        </w:r>
      </w:hyperlink>
    </w:p>
  </w:footnote>
  <w:footnote w:id="13">
    <w:p w14:paraId="6E60E994" w14:textId="4150B80C" w:rsidR="00FA29C8" w:rsidRPr="00D02B91" w:rsidRDefault="00FA29C8" w:rsidP="00FA29C8">
      <w:pPr>
        <w:pStyle w:val="FootnoteText"/>
        <w:jc w:val="both"/>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w:t>
      </w:r>
      <w:r w:rsidR="00DB5374" w:rsidRPr="00D02B91">
        <w:rPr>
          <w:rFonts w:ascii="Arial Narrow" w:hAnsi="Arial Narrow"/>
        </w:rPr>
        <w:t>E.g.</w:t>
      </w:r>
      <w:r w:rsidRPr="00D02B91">
        <w:rPr>
          <w:rFonts w:ascii="Arial Narrow" w:hAnsi="Arial Narrow"/>
        </w:rPr>
        <w:t>,</w:t>
      </w:r>
      <w:r w:rsidR="005D3E78" w:rsidRPr="00D02B91">
        <w:rPr>
          <w:rFonts w:ascii="Arial Narrow" w:hAnsi="Arial Narrow"/>
        </w:rPr>
        <w:t xml:space="preserve"> </w:t>
      </w:r>
      <w:hyperlink r:id="rId12" w:history="1">
        <w:r w:rsidR="00DB5374" w:rsidRPr="00D02B91">
          <w:rPr>
            <w:rStyle w:val="Hyperlink"/>
            <w:rFonts w:ascii="Arial Narrow" w:hAnsi="Arial Narrow"/>
          </w:rPr>
          <w:t>MAC Advice on “STECF’s Annual Economic Report on the EU Fishing Fleet (2026)”</w:t>
        </w:r>
        <w:r w:rsidRPr="00D02B91">
          <w:rPr>
            <w:rStyle w:val="Hyperlink"/>
            <w:rFonts w:ascii="Arial Narrow" w:hAnsi="Arial Narrow"/>
          </w:rPr>
          <w:t xml:space="preserve"> </w:t>
        </w:r>
        <w:r w:rsidR="00DB5374" w:rsidRPr="00D02B91">
          <w:rPr>
            <w:rStyle w:val="Hyperlink"/>
            <w:rFonts w:ascii="Arial Narrow" w:hAnsi="Arial Narrow"/>
          </w:rPr>
          <w:t>(5 February 2026)</w:t>
        </w:r>
      </w:hyperlink>
      <w:r w:rsidR="00DB5374" w:rsidRPr="00D02B91">
        <w:rPr>
          <w:rFonts w:ascii="Arial Narrow" w:hAnsi="Arial Narrow"/>
        </w:rPr>
        <w:t xml:space="preserve">, </w:t>
      </w:r>
      <w:hyperlink r:id="rId13" w:history="1">
        <w:r w:rsidR="006B65BA" w:rsidRPr="00D02B91">
          <w:rPr>
            <w:rStyle w:val="Hyperlink"/>
            <w:rFonts w:ascii="Arial Narrow" w:hAnsi="Arial Narrow"/>
          </w:rPr>
          <w:t>MAC-AAC Advice on “STECF’s Economic Report on the EU Aquaculture Sector (2025)” (18 September 2025)</w:t>
        </w:r>
      </w:hyperlink>
      <w:r w:rsidR="006B65BA" w:rsidRPr="00D02B91">
        <w:rPr>
          <w:rFonts w:ascii="Arial Narrow" w:hAnsi="Arial Narrow"/>
        </w:rPr>
        <w:t xml:space="preserve">, and </w:t>
      </w:r>
      <w:hyperlink r:id="rId14" w:history="1">
        <w:r w:rsidR="006B65BA" w:rsidRPr="00D02B91">
          <w:rPr>
            <w:rStyle w:val="Hyperlink"/>
            <w:rFonts w:ascii="Arial Narrow" w:hAnsi="Arial Narrow"/>
          </w:rPr>
          <w:t>MAC Advice on “STECF’s Economic Report on the Fish Processing Industry (2025 edition)” (18 September 2024)</w:t>
        </w:r>
      </w:hyperlink>
    </w:p>
  </w:footnote>
  <w:footnote w:id="14">
    <w:p w14:paraId="131F5378" w14:textId="3FD81E1A" w:rsidR="00A50673" w:rsidRPr="00D02B91" w:rsidRDefault="00A50673" w:rsidP="00A50673">
      <w:pPr>
        <w:pStyle w:val="FootnoteText"/>
        <w:jc w:val="both"/>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w:t>
      </w:r>
      <w:hyperlink r:id="rId15" w:history="1">
        <w:r w:rsidR="005D4666" w:rsidRPr="00D02B91">
          <w:rPr>
            <w:rStyle w:val="Hyperlink"/>
            <w:rFonts w:ascii="Arial Narrow" w:hAnsi="Arial Narrow"/>
          </w:rPr>
          <w:t>MAC Advice on “Terms of Reference of the Study on Feasible Traceability Systems and Procedures for Prepared and Preserved Fishery and Aquaculture Products” (24 May 2024)</w:t>
        </w:r>
      </w:hyperlink>
    </w:p>
  </w:footnote>
  <w:footnote w:id="15">
    <w:p w14:paraId="7CE3F89F" w14:textId="24134369" w:rsidR="005D4666" w:rsidRPr="005D4666" w:rsidRDefault="005D4666" w:rsidP="005D4666">
      <w:pPr>
        <w:pStyle w:val="FootnoteText"/>
        <w:jc w:val="both"/>
        <w:rPr>
          <w:rFonts w:ascii="Arial Narrow" w:hAnsi="Arial Narrow"/>
        </w:rPr>
      </w:pPr>
      <w:r w:rsidRPr="00D02B91">
        <w:rPr>
          <w:rStyle w:val="FootnoteReference"/>
          <w:rFonts w:ascii="Arial Narrow" w:hAnsi="Arial Narrow"/>
        </w:rPr>
        <w:footnoteRef/>
      </w:r>
      <w:r w:rsidRPr="00D02B91">
        <w:rPr>
          <w:rFonts w:ascii="Arial Narrow" w:hAnsi="Arial Narrow"/>
        </w:rPr>
        <w:t xml:space="preserve"> </w:t>
      </w:r>
      <w:hyperlink r:id="rId16" w:history="1">
        <w:r w:rsidRPr="00D02B91">
          <w:rPr>
            <w:rStyle w:val="Hyperlink"/>
            <w:rFonts w:ascii="Arial Narrow" w:hAnsi="Arial Narrow"/>
          </w:rPr>
          <w:t>MAC Advice on “Upcoming Delegated Act on Additional Rules for Traceability of Fresh and Frozen Fishery and Aquaculture Products and Marking of Lots” (12 March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1969" w14:textId="77777777" w:rsidR="00C34158" w:rsidRPr="00D02B91" w:rsidRDefault="00C34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B4C1" w14:textId="71D355AE" w:rsidR="002D3BB2" w:rsidRPr="00D02B91" w:rsidRDefault="00A112F6">
    <w:pPr>
      <w:pStyle w:val="Header"/>
    </w:pPr>
    <w:r w:rsidRPr="00D02B91">
      <w:rPr>
        <w:noProof/>
      </w:rPr>
      <w:drawing>
        <wp:anchor distT="0" distB="0" distL="114300" distR="114300" simplePos="0" relativeHeight="251658240" behindDoc="1" locked="0" layoutInCell="1" allowOverlap="1" wp14:anchorId="538AE01B" wp14:editId="1C2F7078">
          <wp:simplePos x="0" y="0"/>
          <wp:positionH relativeFrom="margin">
            <wp:align>center</wp:align>
          </wp:positionH>
          <wp:positionV relativeFrom="paragraph">
            <wp:posOffset>-297180</wp:posOffset>
          </wp:positionV>
          <wp:extent cx="1266868" cy="819150"/>
          <wp:effectExtent l="0" t="0" r="9525"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
                    <a:extLst>
                      <a:ext uri="{28A0092B-C50C-407E-A947-70E740481C1C}">
                        <a14:useLocalDpi xmlns:a14="http://schemas.microsoft.com/office/drawing/2010/main" val="0"/>
                      </a:ext>
                    </a:extLst>
                  </a:blip>
                  <a:stretch>
                    <a:fillRect/>
                  </a:stretch>
                </pic:blipFill>
                <pic:spPr>
                  <a:xfrm>
                    <a:off x="0" y="0"/>
                    <a:ext cx="1266868" cy="819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30D3" w14:textId="77777777" w:rsidR="00C34158" w:rsidRPr="00D02B91" w:rsidRDefault="00C34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5D8"/>
    <w:multiLevelType w:val="hybridMultilevel"/>
    <w:tmpl w:val="B83A04D8"/>
    <w:lvl w:ilvl="0" w:tplc="AC6051D4">
      <w:start w:val="1000"/>
      <w:numFmt w:val="bullet"/>
      <w:lvlText w:val="-"/>
      <w:lvlJc w:val="left"/>
      <w:pPr>
        <w:ind w:left="720" w:hanging="360"/>
      </w:pPr>
      <w:rPr>
        <w:rFonts w:ascii="Arial Narrow" w:eastAsia="Times New Roman"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8244E"/>
    <w:multiLevelType w:val="hybridMultilevel"/>
    <w:tmpl w:val="E0F6D7F6"/>
    <w:lvl w:ilvl="0" w:tplc="91BA2E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78074D"/>
    <w:multiLevelType w:val="hybridMultilevel"/>
    <w:tmpl w:val="91923BE6"/>
    <w:lvl w:ilvl="0" w:tplc="ABC6638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4287E0D"/>
    <w:multiLevelType w:val="hybridMultilevel"/>
    <w:tmpl w:val="36AA89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C7FB9"/>
    <w:multiLevelType w:val="multilevel"/>
    <w:tmpl w:val="7BCC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76F2F"/>
    <w:multiLevelType w:val="hybridMultilevel"/>
    <w:tmpl w:val="36C237D2"/>
    <w:lvl w:ilvl="0" w:tplc="32460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66FB9"/>
    <w:multiLevelType w:val="hybridMultilevel"/>
    <w:tmpl w:val="5A2EED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F5F165C"/>
    <w:multiLevelType w:val="hybridMultilevel"/>
    <w:tmpl w:val="355A2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2563F0"/>
    <w:multiLevelType w:val="multilevel"/>
    <w:tmpl w:val="E7A0655C"/>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8361C9D"/>
    <w:multiLevelType w:val="hybridMultilevel"/>
    <w:tmpl w:val="0A3AD80A"/>
    <w:lvl w:ilvl="0" w:tplc="1706920A">
      <w:start w:val="4"/>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5540E"/>
    <w:multiLevelType w:val="hybridMultilevel"/>
    <w:tmpl w:val="AB788D60"/>
    <w:lvl w:ilvl="0" w:tplc="21E6D194">
      <w:start w:val="4"/>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D971D9"/>
    <w:multiLevelType w:val="hybridMultilevel"/>
    <w:tmpl w:val="67743C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8C54C7"/>
    <w:multiLevelType w:val="hybridMultilevel"/>
    <w:tmpl w:val="A21A5672"/>
    <w:lvl w:ilvl="0" w:tplc="E8104134">
      <w:start w:val="1"/>
      <w:numFmt w:val="lowerLetter"/>
      <w:lvlText w:val="%1."/>
      <w:lvlJc w:val="left"/>
      <w:pPr>
        <w:ind w:left="720" w:hanging="360"/>
      </w:pPr>
      <w:rPr>
        <w:rFonts w:ascii="Arial Narrow" w:eastAsia="Times New Roman" w:hAnsi="Arial Narrow"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1001E"/>
    <w:multiLevelType w:val="hybridMultilevel"/>
    <w:tmpl w:val="B2AAB9E2"/>
    <w:lvl w:ilvl="0" w:tplc="A9C0C87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B232D498">
      <w:numFmt w:val="bullet"/>
      <w:lvlText w:val="•"/>
      <w:lvlJc w:val="left"/>
      <w:pPr>
        <w:ind w:left="2520" w:hanging="72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15938"/>
    <w:multiLevelType w:val="hybridMultilevel"/>
    <w:tmpl w:val="D4D6CBA8"/>
    <w:lvl w:ilvl="0" w:tplc="2EFCDAC2">
      <w:start w:val="1"/>
      <w:numFmt w:val="bullet"/>
      <w:lvlText w:val=""/>
      <w:lvlJc w:val="left"/>
      <w:pPr>
        <w:ind w:left="720" w:hanging="360"/>
      </w:pPr>
      <w:rPr>
        <w:rFonts w:ascii="Wingdings" w:hAnsi="Wingdings" w:hint="default"/>
        <w:color w:val="auto"/>
      </w:rPr>
    </w:lvl>
    <w:lvl w:ilvl="1" w:tplc="6BA0697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D417B"/>
    <w:multiLevelType w:val="hybridMultilevel"/>
    <w:tmpl w:val="A9665420"/>
    <w:lvl w:ilvl="0" w:tplc="EA008622">
      <w:start w:val="1"/>
      <w:numFmt w:val="bullet"/>
      <w:lvlText w:val=""/>
      <w:lvlJc w:val="left"/>
      <w:pPr>
        <w:tabs>
          <w:tab w:val="num" w:pos="720"/>
        </w:tabs>
        <w:ind w:left="720" w:hanging="360"/>
      </w:pPr>
      <w:rPr>
        <w:rFonts w:ascii="Wingdings" w:hAnsi="Wingdings" w:hint="default"/>
      </w:rPr>
    </w:lvl>
    <w:lvl w:ilvl="1" w:tplc="6C440144" w:tentative="1">
      <w:start w:val="1"/>
      <w:numFmt w:val="bullet"/>
      <w:lvlText w:val=""/>
      <w:lvlJc w:val="left"/>
      <w:pPr>
        <w:tabs>
          <w:tab w:val="num" w:pos="1440"/>
        </w:tabs>
        <w:ind w:left="1440" w:hanging="360"/>
      </w:pPr>
      <w:rPr>
        <w:rFonts w:ascii="Wingdings" w:hAnsi="Wingdings" w:hint="default"/>
      </w:rPr>
    </w:lvl>
    <w:lvl w:ilvl="2" w:tplc="ED72EDF6">
      <w:start w:val="1"/>
      <w:numFmt w:val="bullet"/>
      <w:lvlText w:val=""/>
      <w:lvlJc w:val="left"/>
      <w:pPr>
        <w:tabs>
          <w:tab w:val="num" w:pos="2160"/>
        </w:tabs>
        <w:ind w:left="2160" w:hanging="360"/>
      </w:pPr>
      <w:rPr>
        <w:rFonts w:ascii="Wingdings" w:hAnsi="Wingdings" w:hint="default"/>
      </w:rPr>
    </w:lvl>
    <w:lvl w:ilvl="3" w:tplc="89BEC0C4">
      <w:numFmt w:val="bullet"/>
      <w:lvlText w:val=""/>
      <w:lvlJc w:val="left"/>
      <w:pPr>
        <w:tabs>
          <w:tab w:val="num" w:pos="2880"/>
        </w:tabs>
        <w:ind w:left="2880" w:hanging="360"/>
      </w:pPr>
      <w:rPr>
        <w:rFonts w:ascii="Wingdings" w:hAnsi="Wingdings" w:hint="default"/>
      </w:rPr>
    </w:lvl>
    <w:lvl w:ilvl="4" w:tplc="A08EF65C" w:tentative="1">
      <w:start w:val="1"/>
      <w:numFmt w:val="bullet"/>
      <w:lvlText w:val=""/>
      <w:lvlJc w:val="left"/>
      <w:pPr>
        <w:tabs>
          <w:tab w:val="num" w:pos="3600"/>
        </w:tabs>
        <w:ind w:left="3600" w:hanging="360"/>
      </w:pPr>
      <w:rPr>
        <w:rFonts w:ascii="Wingdings" w:hAnsi="Wingdings" w:hint="default"/>
      </w:rPr>
    </w:lvl>
    <w:lvl w:ilvl="5" w:tplc="E068A84A" w:tentative="1">
      <w:start w:val="1"/>
      <w:numFmt w:val="bullet"/>
      <w:lvlText w:val=""/>
      <w:lvlJc w:val="left"/>
      <w:pPr>
        <w:tabs>
          <w:tab w:val="num" w:pos="4320"/>
        </w:tabs>
        <w:ind w:left="4320" w:hanging="360"/>
      </w:pPr>
      <w:rPr>
        <w:rFonts w:ascii="Wingdings" w:hAnsi="Wingdings" w:hint="default"/>
      </w:rPr>
    </w:lvl>
    <w:lvl w:ilvl="6" w:tplc="9572B29A" w:tentative="1">
      <w:start w:val="1"/>
      <w:numFmt w:val="bullet"/>
      <w:lvlText w:val=""/>
      <w:lvlJc w:val="left"/>
      <w:pPr>
        <w:tabs>
          <w:tab w:val="num" w:pos="5040"/>
        </w:tabs>
        <w:ind w:left="5040" w:hanging="360"/>
      </w:pPr>
      <w:rPr>
        <w:rFonts w:ascii="Wingdings" w:hAnsi="Wingdings" w:hint="default"/>
      </w:rPr>
    </w:lvl>
    <w:lvl w:ilvl="7" w:tplc="352A0506" w:tentative="1">
      <w:start w:val="1"/>
      <w:numFmt w:val="bullet"/>
      <w:lvlText w:val=""/>
      <w:lvlJc w:val="left"/>
      <w:pPr>
        <w:tabs>
          <w:tab w:val="num" w:pos="5760"/>
        </w:tabs>
        <w:ind w:left="5760" w:hanging="360"/>
      </w:pPr>
      <w:rPr>
        <w:rFonts w:ascii="Wingdings" w:hAnsi="Wingdings" w:hint="default"/>
      </w:rPr>
    </w:lvl>
    <w:lvl w:ilvl="8" w:tplc="226282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E801A9"/>
    <w:multiLevelType w:val="hybridMultilevel"/>
    <w:tmpl w:val="3B848D7E"/>
    <w:lvl w:ilvl="0" w:tplc="F6EEC27A">
      <w:start w:val="4"/>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8661B"/>
    <w:multiLevelType w:val="hybridMultilevel"/>
    <w:tmpl w:val="56021E64"/>
    <w:lvl w:ilvl="0" w:tplc="9626CC5A">
      <w:start w:val="3"/>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900489">
    <w:abstractNumId w:val="13"/>
  </w:num>
  <w:num w:numId="2" w16cid:durableId="1330056024">
    <w:abstractNumId w:val="14"/>
  </w:num>
  <w:num w:numId="3" w16cid:durableId="1878423776">
    <w:abstractNumId w:val="12"/>
  </w:num>
  <w:num w:numId="4" w16cid:durableId="1130249914">
    <w:abstractNumId w:val="8"/>
  </w:num>
  <w:num w:numId="5" w16cid:durableId="1755275619">
    <w:abstractNumId w:val="16"/>
  </w:num>
  <w:num w:numId="6" w16cid:durableId="738819837">
    <w:abstractNumId w:val="9"/>
  </w:num>
  <w:num w:numId="7" w16cid:durableId="1670017484">
    <w:abstractNumId w:val="10"/>
  </w:num>
  <w:num w:numId="8" w16cid:durableId="192037275">
    <w:abstractNumId w:val="6"/>
  </w:num>
  <w:num w:numId="9" w16cid:durableId="1487820155">
    <w:abstractNumId w:val="2"/>
  </w:num>
  <w:num w:numId="10" w16cid:durableId="2099473786">
    <w:abstractNumId w:val="11"/>
  </w:num>
  <w:num w:numId="11" w16cid:durableId="371999766">
    <w:abstractNumId w:val="1"/>
  </w:num>
  <w:num w:numId="12" w16cid:durableId="310015322">
    <w:abstractNumId w:val="0"/>
  </w:num>
  <w:num w:numId="13" w16cid:durableId="740059258">
    <w:abstractNumId w:val="5"/>
  </w:num>
  <w:num w:numId="14" w16cid:durableId="1139684983">
    <w:abstractNumId w:val="17"/>
  </w:num>
  <w:num w:numId="15" w16cid:durableId="94444730">
    <w:abstractNumId w:val="4"/>
  </w:num>
  <w:num w:numId="16" w16cid:durableId="399980584">
    <w:abstractNumId w:val="7"/>
  </w:num>
  <w:num w:numId="17" w16cid:durableId="1551377185">
    <w:abstractNumId w:val="3"/>
  </w:num>
  <w:num w:numId="18" w16cid:durableId="236792634">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dro Reis Santos (MAC)">
    <w15:presenceInfo w15:providerId="None" w15:userId="Pedro Reis Santos (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pt-PT" w:vendorID="64" w:dllVersion="0" w:nlCheck="1" w:checkStyle="0"/>
  <w:activeWritingStyle w:appName="MSWord" w:lang="en-IE" w:vendorID="64" w:dllVersion="0" w:nlCheck="1" w:checkStyle="0"/>
  <w:activeWritingStyle w:appName="MSWord" w:lang="de-DE" w:vendorID="64" w:dllVersion="0" w:nlCheck="1" w:checkStyle="0"/>
  <w:activeWritingStyle w:appName="MSWord" w:lang="nl-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47371"/>
    <w:rsid w:val="000000C9"/>
    <w:rsid w:val="000008A2"/>
    <w:rsid w:val="00001BCE"/>
    <w:rsid w:val="0000319F"/>
    <w:rsid w:val="00004917"/>
    <w:rsid w:val="0000518B"/>
    <w:rsid w:val="00005878"/>
    <w:rsid w:val="00005A05"/>
    <w:rsid w:val="00005AA8"/>
    <w:rsid w:val="00005B9D"/>
    <w:rsid w:val="00006545"/>
    <w:rsid w:val="0000667D"/>
    <w:rsid w:val="000068D6"/>
    <w:rsid w:val="000105FF"/>
    <w:rsid w:val="00014587"/>
    <w:rsid w:val="0001478C"/>
    <w:rsid w:val="000149D8"/>
    <w:rsid w:val="00014D52"/>
    <w:rsid w:val="0001547C"/>
    <w:rsid w:val="0001560C"/>
    <w:rsid w:val="00015D28"/>
    <w:rsid w:val="00017500"/>
    <w:rsid w:val="00020C46"/>
    <w:rsid w:val="000212B7"/>
    <w:rsid w:val="00026054"/>
    <w:rsid w:val="000277E3"/>
    <w:rsid w:val="00027A64"/>
    <w:rsid w:val="0003049D"/>
    <w:rsid w:val="00032387"/>
    <w:rsid w:val="00033221"/>
    <w:rsid w:val="00033A9C"/>
    <w:rsid w:val="00034126"/>
    <w:rsid w:val="0003587C"/>
    <w:rsid w:val="00036096"/>
    <w:rsid w:val="00037373"/>
    <w:rsid w:val="00037D08"/>
    <w:rsid w:val="00040AC5"/>
    <w:rsid w:val="00042F95"/>
    <w:rsid w:val="000436A9"/>
    <w:rsid w:val="0004418D"/>
    <w:rsid w:val="000450C9"/>
    <w:rsid w:val="0004513B"/>
    <w:rsid w:val="00045996"/>
    <w:rsid w:val="00046602"/>
    <w:rsid w:val="00046827"/>
    <w:rsid w:val="0004718A"/>
    <w:rsid w:val="00047371"/>
    <w:rsid w:val="00047C7C"/>
    <w:rsid w:val="00047FEA"/>
    <w:rsid w:val="00050DFF"/>
    <w:rsid w:val="0005464E"/>
    <w:rsid w:val="000562F9"/>
    <w:rsid w:val="000564D3"/>
    <w:rsid w:val="00057ACE"/>
    <w:rsid w:val="00057C7F"/>
    <w:rsid w:val="00057FCF"/>
    <w:rsid w:val="00060331"/>
    <w:rsid w:val="000605E8"/>
    <w:rsid w:val="00060A21"/>
    <w:rsid w:val="000614D5"/>
    <w:rsid w:val="000617A1"/>
    <w:rsid w:val="00061937"/>
    <w:rsid w:val="0006210F"/>
    <w:rsid w:val="000648E5"/>
    <w:rsid w:val="0006585B"/>
    <w:rsid w:val="00070029"/>
    <w:rsid w:val="00072B9B"/>
    <w:rsid w:val="00072F9E"/>
    <w:rsid w:val="00073AE5"/>
    <w:rsid w:val="00074382"/>
    <w:rsid w:val="000747B5"/>
    <w:rsid w:val="00074E5F"/>
    <w:rsid w:val="00076C7D"/>
    <w:rsid w:val="0008049F"/>
    <w:rsid w:val="00083C89"/>
    <w:rsid w:val="00084802"/>
    <w:rsid w:val="00084D52"/>
    <w:rsid w:val="00085527"/>
    <w:rsid w:val="00085909"/>
    <w:rsid w:val="00086F38"/>
    <w:rsid w:val="000911DE"/>
    <w:rsid w:val="000937A5"/>
    <w:rsid w:val="00093D15"/>
    <w:rsid w:val="00094FFE"/>
    <w:rsid w:val="00096549"/>
    <w:rsid w:val="0009689F"/>
    <w:rsid w:val="00096A70"/>
    <w:rsid w:val="000973FC"/>
    <w:rsid w:val="000A296E"/>
    <w:rsid w:val="000A3472"/>
    <w:rsid w:val="000A52A4"/>
    <w:rsid w:val="000A5307"/>
    <w:rsid w:val="000B0365"/>
    <w:rsid w:val="000B06E2"/>
    <w:rsid w:val="000B1B2E"/>
    <w:rsid w:val="000B1EBF"/>
    <w:rsid w:val="000B240A"/>
    <w:rsid w:val="000B49B4"/>
    <w:rsid w:val="000B518C"/>
    <w:rsid w:val="000C06DB"/>
    <w:rsid w:val="000C0777"/>
    <w:rsid w:val="000C08CA"/>
    <w:rsid w:val="000C092E"/>
    <w:rsid w:val="000C0989"/>
    <w:rsid w:val="000C0F08"/>
    <w:rsid w:val="000C0F9A"/>
    <w:rsid w:val="000C21EF"/>
    <w:rsid w:val="000C2A07"/>
    <w:rsid w:val="000C2BF0"/>
    <w:rsid w:val="000C32AF"/>
    <w:rsid w:val="000C4FFC"/>
    <w:rsid w:val="000D0689"/>
    <w:rsid w:val="000D3027"/>
    <w:rsid w:val="000D5A7B"/>
    <w:rsid w:val="000E0079"/>
    <w:rsid w:val="000E1094"/>
    <w:rsid w:val="000E12D8"/>
    <w:rsid w:val="000E24C3"/>
    <w:rsid w:val="000E5E0F"/>
    <w:rsid w:val="000E6634"/>
    <w:rsid w:val="000E6E53"/>
    <w:rsid w:val="000E7621"/>
    <w:rsid w:val="000F0142"/>
    <w:rsid w:val="000F0ECB"/>
    <w:rsid w:val="000F1485"/>
    <w:rsid w:val="000F2A84"/>
    <w:rsid w:val="000F3538"/>
    <w:rsid w:val="000F43F7"/>
    <w:rsid w:val="000F54DD"/>
    <w:rsid w:val="000F6F30"/>
    <w:rsid w:val="000F736F"/>
    <w:rsid w:val="000F78E6"/>
    <w:rsid w:val="000F7B79"/>
    <w:rsid w:val="0010052F"/>
    <w:rsid w:val="0010090B"/>
    <w:rsid w:val="0010245A"/>
    <w:rsid w:val="00102CDC"/>
    <w:rsid w:val="00103E0E"/>
    <w:rsid w:val="001107F7"/>
    <w:rsid w:val="00110BFD"/>
    <w:rsid w:val="001132D9"/>
    <w:rsid w:val="00115597"/>
    <w:rsid w:val="00115C81"/>
    <w:rsid w:val="001167DE"/>
    <w:rsid w:val="001178BF"/>
    <w:rsid w:val="0012188A"/>
    <w:rsid w:val="00121A62"/>
    <w:rsid w:val="00122ED5"/>
    <w:rsid w:val="001257F7"/>
    <w:rsid w:val="0012608A"/>
    <w:rsid w:val="001261D3"/>
    <w:rsid w:val="00127CD1"/>
    <w:rsid w:val="001319D9"/>
    <w:rsid w:val="00132497"/>
    <w:rsid w:val="00134971"/>
    <w:rsid w:val="00134EE0"/>
    <w:rsid w:val="00136787"/>
    <w:rsid w:val="00136811"/>
    <w:rsid w:val="00137B9F"/>
    <w:rsid w:val="0014301A"/>
    <w:rsid w:val="001455F8"/>
    <w:rsid w:val="0014598A"/>
    <w:rsid w:val="00147829"/>
    <w:rsid w:val="00147D05"/>
    <w:rsid w:val="00150568"/>
    <w:rsid w:val="00150A23"/>
    <w:rsid w:val="00151B8B"/>
    <w:rsid w:val="00151BA5"/>
    <w:rsid w:val="00152AF3"/>
    <w:rsid w:val="001554E2"/>
    <w:rsid w:val="001555CC"/>
    <w:rsid w:val="001556B1"/>
    <w:rsid w:val="001558ED"/>
    <w:rsid w:val="00156F85"/>
    <w:rsid w:val="0015794A"/>
    <w:rsid w:val="00161353"/>
    <w:rsid w:val="00161470"/>
    <w:rsid w:val="00161824"/>
    <w:rsid w:val="00162018"/>
    <w:rsid w:val="001630B0"/>
    <w:rsid w:val="00163523"/>
    <w:rsid w:val="00163F96"/>
    <w:rsid w:val="001655FA"/>
    <w:rsid w:val="00165789"/>
    <w:rsid w:val="00165E1F"/>
    <w:rsid w:val="00166B49"/>
    <w:rsid w:val="001670A8"/>
    <w:rsid w:val="001675C1"/>
    <w:rsid w:val="00167C71"/>
    <w:rsid w:val="00167F43"/>
    <w:rsid w:val="0017597C"/>
    <w:rsid w:val="00176244"/>
    <w:rsid w:val="0017704A"/>
    <w:rsid w:val="00177CEB"/>
    <w:rsid w:val="00180109"/>
    <w:rsid w:val="00181498"/>
    <w:rsid w:val="0018158E"/>
    <w:rsid w:val="0018222B"/>
    <w:rsid w:val="00182CE2"/>
    <w:rsid w:val="00183310"/>
    <w:rsid w:val="0018476A"/>
    <w:rsid w:val="0018492E"/>
    <w:rsid w:val="001861A2"/>
    <w:rsid w:val="001869B8"/>
    <w:rsid w:val="00186A07"/>
    <w:rsid w:val="00186FE1"/>
    <w:rsid w:val="001905B5"/>
    <w:rsid w:val="00191167"/>
    <w:rsid w:val="001938B5"/>
    <w:rsid w:val="0019458E"/>
    <w:rsid w:val="00194604"/>
    <w:rsid w:val="00195A66"/>
    <w:rsid w:val="00197BE8"/>
    <w:rsid w:val="001A01B3"/>
    <w:rsid w:val="001A0549"/>
    <w:rsid w:val="001A0F9D"/>
    <w:rsid w:val="001A1A6C"/>
    <w:rsid w:val="001A1D3F"/>
    <w:rsid w:val="001A207F"/>
    <w:rsid w:val="001A3650"/>
    <w:rsid w:val="001A4C2A"/>
    <w:rsid w:val="001A510D"/>
    <w:rsid w:val="001A5987"/>
    <w:rsid w:val="001A72CE"/>
    <w:rsid w:val="001A78DF"/>
    <w:rsid w:val="001B1771"/>
    <w:rsid w:val="001B1787"/>
    <w:rsid w:val="001B1C1E"/>
    <w:rsid w:val="001B3454"/>
    <w:rsid w:val="001B7334"/>
    <w:rsid w:val="001B7BC6"/>
    <w:rsid w:val="001C0FE0"/>
    <w:rsid w:val="001C2EA6"/>
    <w:rsid w:val="001C557C"/>
    <w:rsid w:val="001D00CA"/>
    <w:rsid w:val="001D0186"/>
    <w:rsid w:val="001D0C4E"/>
    <w:rsid w:val="001D3A29"/>
    <w:rsid w:val="001D4EFC"/>
    <w:rsid w:val="001D5851"/>
    <w:rsid w:val="001D5ABF"/>
    <w:rsid w:val="001D5DBB"/>
    <w:rsid w:val="001D6499"/>
    <w:rsid w:val="001E0FDE"/>
    <w:rsid w:val="001E11FC"/>
    <w:rsid w:val="001E1B46"/>
    <w:rsid w:val="001E247E"/>
    <w:rsid w:val="001E28B8"/>
    <w:rsid w:val="001E2AE8"/>
    <w:rsid w:val="001E3D61"/>
    <w:rsid w:val="001E41D7"/>
    <w:rsid w:val="001E46CC"/>
    <w:rsid w:val="001E6626"/>
    <w:rsid w:val="001E6780"/>
    <w:rsid w:val="001F0721"/>
    <w:rsid w:val="001F09E8"/>
    <w:rsid w:val="001F22CD"/>
    <w:rsid w:val="001F23E0"/>
    <w:rsid w:val="001F26FA"/>
    <w:rsid w:val="001F38B0"/>
    <w:rsid w:val="001F51F6"/>
    <w:rsid w:val="001F5871"/>
    <w:rsid w:val="001F5EA1"/>
    <w:rsid w:val="00200C72"/>
    <w:rsid w:val="0020130C"/>
    <w:rsid w:val="002027DA"/>
    <w:rsid w:val="0020333E"/>
    <w:rsid w:val="0020373A"/>
    <w:rsid w:val="00204BE5"/>
    <w:rsid w:val="00205F22"/>
    <w:rsid w:val="00206300"/>
    <w:rsid w:val="002066DC"/>
    <w:rsid w:val="002072E9"/>
    <w:rsid w:val="00207CBE"/>
    <w:rsid w:val="002105C6"/>
    <w:rsid w:val="002105FD"/>
    <w:rsid w:val="00210E3A"/>
    <w:rsid w:val="00211C63"/>
    <w:rsid w:val="0021293A"/>
    <w:rsid w:val="00213387"/>
    <w:rsid w:val="00215737"/>
    <w:rsid w:val="00216335"/>
    <w:rsid w:val="002165E2"/>
    <w:rsid w:val="00216834"/>
    <w:rsid w:val="00217209"/>
    <w:rsid w:val="00217DDD"/>
    <w:rsid w:val="0022218B"/>
    <w:rsid w:val="002226B5"/>
    <w:rsid w:val="00222995"/>
    <w:rsid w:val="002229DB"/>
    <w:rsid w:val="00222EE5"/>
    <w:rsid w:val="00222F73"/>
    <w:rsid w:val="002248BE"/>
    <w:rsid w:val="002251C8"/>
    <w:rsid w:val="00225539"/>
    <w:rsid w:val="002271A2"/>
    <w:rsid w:val="00231A0A"/>
    <w:rsid w:val="00234740"/>
    <w:rsid w:val="002356B1"/>
    <w:rsid w:val="0024084E"/>
    <w:rsid w:val="002408DF"/>
    <w:rsid w:val="002409DC"/>
    <w:rsid w:val="00241E49"/>
    <w:rsid w:val="00242880"/>
    <w:rsid w:val="00243364"/>
    <w:rsid w:val="00243D1C"/>
    <w:rsid w:val="00244E20"/>
    <w:rsid w:val="00246597"/>
    <w:rsid w:val="00250535"/>
    <w:rsid w:val="00250707"/>
    <w:rsid w:val="00251099"/>
    <w:rsid w:val="0025384A"/>
    <w:rsid w:val="00253CB6"/>
    <w:rsid w:val="00254622"/>
    <w:rsid w:val="00255EFB"/>
    <w:rsid w:val="00256180"/>
    <w:rsid w:val="00257599"/>
    <w:rsid w:val="00257B7F"/>
    <w:rsid w:val="00263E37"/>
    <w:rsid w:val="00264551"/>
    <w:rsid w:val="00266C16"/>
    <w:rsid w:val="00266C36"/>
    <w:rsid w:val="00267C98"/>
    <w:rsid w:val="00267DD5"/>
    <w:rsid w:val="002712F2"/>
    <w:rsid w:val="002723A2"/>
    <w:rsid w:val="00272C45"/>
    <w:rsid w:val="00274134"/>
    <w:rsid w:val="00274E37"/>
    <w:rsid w:val="00275A38"/>
    <w:rsid w:val="00276293"/>
    <w:rsid w:val="00280941"/>
    <w:rsid w:val="00281CC6"/>
    <w:rsid w:val="0028288F"/>
    <w:rsid w:val="00282D67"/>
    <w:rsid w:val="00284594"/>
    <w:rsid w:val="002854F7"/>
    <w:rsid w:val="002856D8"/>
    <w:rsid w:val="00285DF6"/>
    <w:rsid w:val="002879E1"/>
    <w:rsid w:val="00290237"/>
    <w:rsid w:val="00290971"/>
    <w:rsid w:val="002912F8"/>
    <w:rsid w:val="002917A3"/>
    <w:rsid w:val="002923EA"/>
    <w:rsid w:val="002927B0"/>
    <w:rsid w:val="0029374F"/>
    <w:rsid w:val="00294F75"/>
    <w:rsid w:val="00295A67"/>
    <w:rsid w:val="00295C97"/>
    <w:rsid w:val="00296BA6"/>
    <w:rsid w:val="00297EF9"/>
    <w:rsid w:val="002A0E89"/>
    <w:rsid w:val="002A256A"/>
    <w:rsid w:val="002A601A"/>
    <w:rsid w:val="002B052D"/>
    <w:rsid w:val="002B0F2F"/>
    <w:rsid w:val="002B1EC1"/>
    <w:rsid w:val="002B2285"/>
    <w:rsid w:val="002B2AEA"/>
    <w:rsid w:val="002B328D"/>
    <w:rsid w:val="002B3966"/>
    <w:rsid w:val="002B3E9D"/>
    <w:rsid w:val="002B3F39"/>
    <w:rsid w:val="002B6564"/>
    <w:rsid w:val="002B6B96"/>
    <w:rsid w:val="002B7793"/>
    <w:rsid w:val="002C1647"/>
    <w:rsid w:val="002C2B17"/>
    <w:rsid w:val="002C3365"/>
    <w:rsid w:val="002C344F"/>
    <w:rsid w:val="002C4530"/>
    <w:rsid w:val="002C4708"/>
    <w:rsid w:val="002C51D6"/>
    <w:rsid w:val="002C556D"/>
    <w:rsid w:val="002C5D98"/>
    <w:rsid w:val="002D17ED"/>
    <w:rsid w:val="002D3BB2"/>
    <w:rsid w:val="002D65CC"/>
    <w:rsid w:val="002D6DE4"/>
    <w:rsid w:val="002E0DBC"/>
    <w:rsid w:val="002E1355"/>
    <w:rsid w:val="002E204A"/>
    <w:rsid w:val="002E25FE"/>
    <w:rsid w:val="002E28AF"/>
    <w:rsid w:val="002E2FDC"/>
    <w:rsid w:val="002E360E"/>
    <w:rsid w:val="002E367D"/>
    <w:rsid w:val="002E4665"/>
    <w:rsid w:val="002E66B4"/>
    <w:rsid w:val="002E77DF"/>
    <w:rsid w:val="002E7E35"/>
    <w:rsid w:val="002E7F98"/>
    <w:rsid w:val="002F055C"/>
    <w:rsid w:val="002F337C"/>
    <w:rsid w:val="002F6F61"/>
    <w:rsid w:val="0030207F"/>
    <w:rsid w:val="00302D19"/>
    <w:rsid w:val="0030338A"/>
    <w:rsid w:val="0030458D"/>
    <w:rsid w:val="003052C8"/>
    <w:rsid w:val="00305D53"/>
    <w:rsid w:val="0030684D"/>
    <w:rsid w:val="003105DC"/>
    <w:rsid w:val="00310DF9"/>
    <w:rsid w:val="00311D3C"/>
    <w:rsid w:val="003133FE"/>
    <w:rsid w:val="003134F0"/>
    <w:rsid w:val="00313731"/>
    <w:rsid w:val="00313F9E"/>
    <w:rsid w:val="00314127"/>
    <w:rsid w:val="00315210"/>
    <w:rsid w:val="003155C9"/>
    <w:rsid w:val="00321553"/>
    <w:rsid w:val="003220E7"/>
    <w:rsid w:val="003224FD"/>
    <w:rsid w:val="003252A1"/>
    <w:rsid w:val="003266C0"/>
    <w:rsid w:val="00327B4F"/>
    <w:rsid w:val="00327FB1"/>
    <w:rsid w:val="00330B4D"/>
    <w:rsid w:val="00332CA8"/>
    <w:rsid w:val="00337EE7"/>
    <w:rsid w:val="003424C5"/>
    <w:rsid w:val="00343819"/>
    <w:rsid w:val="0034389B"/>
    <w:rsid w:val="00343DB2"/>
    <w:rsid w:val="0034451C"/>
    <w:rsid w:val="0034474B"/>
    <w:rsid w:val="00344D75"/>
    <w:rsid w:val="003453E6"/>
    <w:rsid w:val="003455BF"/>
    <w:rsid w:val="0034641E"/>
    <w:rsid w:val="003466C7"/>
    <w:rsid w:val="003479BA"/>
    <w:rsid w:val="00350158"/>
    <w:rsid w:val="0035246E"/>
    <w:rsid w:val="003528A5"/>
    <w:rsid w:val="00352D8F"/>
    <w:rsid w:val="00353A28"/>
    <w:rsid w:val="00356811"/>
    <w:rsid w:val="00356DAE"/>
    <w:rsid w:val="00356E2E"/>
    <w:rsid w:val="00357856"/>
    <w:rsid w:val="00357D08"/>
    <w:rsid w:val="00361088"/>
    <w:rsid w:val="00361370"/>
    <w:rsid w:val="0036187A"/>
    <w:rsid w:val="00361A92"/>
    <w:rsid w:val="00362BBF"/>
    <w:rsid w:val="003630AA"/>
    <w:rsid w:val="00363F4D"/>
    <w:rsid w:val="00365106"/>
    <w:rsid w:val="00365DC7"/>
    <w:rsid w:val="003674FB"/>
    <w:rsid w:val="0037170C"/>
    <w:rsid w:val="00372F57"/>
    <w:rsid w:val="00373D8A"/>
    <w:rsid w:val="00374A8C"/>
    <w:rsid w:val="00374C9E"/>
    <w:rsid w:val="00375440"/>
    <w:rsid w:val="00377D27"/>
    <w:rsid w:val="0038087F"/>
    <w:rsid w:val="00381B83"/>
    <w:rsid w:val="00381D7F"/>
    <w:rsid w:val="0038248C"/>
    <w:rsid w:val="00383843"/>
    <w:rsid w:val="00383872"/>
    <w:rsid w:val="00384E54"/>
    <w:rsid w:val="0038508A"/>
    <w:rsid w:val="003853A6"/>
    <w:rsid w:val="003864B9"/>
    <w:rsid w:val="003866FC"/>
    <w:rsid w:val="00387770"/>
    <w:rsid w:val="00387A71"/>
    <w:rsid w:val="00390761"/>
    <w:rsid w:val="00390935"/>
    <w:rsid w:val="003912CE"/>
    <w:rsid w:val="00391369"/>
    <w:rsid w:val="00391E6B"/>
    <w:rsid w:val="00393542"/>
    <w:rsid w:val="00393C87"/>
    <w:rsid w:val="003948DA"/>
    <w:rsid w:val="0039545F"/>
    <w:rsid w:val="00395AFB"/>
    <w:rsid w:val="00395B9E"/>
    <w:rsid w:val="0039697B"/>
    <w:rsid w:val="003A0139"/>
    <w:rsid w:val="003A0BB9"/>
    <w:rsid w:val="003A256F"/>
    <w:rsid w:val="003A43C6"/>
    <w:rsid w:val="003A4585"/>
    <w:rsid w:val="003A5DAA"/>
    <w:rsid w:val="003A6A1C"/>
    <w:rsid w:val="003A6CFC"/>
    <w:rsid w:val="003B1F67"/>
    <w:rsid w:val="003B242F"/>
    <w:rsid w:val="003B47C0"/>
    <w:rsid w:val="003B48D4"/>
    <w:rsid w:val="003B4BCD"/>
    <w:rsid w:val="003B515C"/>
    <w:rsid w:val="003B5253"/>
    <w:rsid w:val="003B58C9"/>
    <w:rsid w:val="003B7A60"/>
    <w:rsid w:val="003C046B"/>
    <w:rsid w:val="003C0A2F"/>
    <w:rsid w:val="003C10DA"/>
    <w:rsid w:val="003C1B88"/>
    <w:rsid w:val="003C3D14"/>
    <w:rsid w:val="003C45DB"/>
    <w:rsid w:val="003C4C8C"/>
    <w:rsid w:val="003C5801"/>
    <w:rsid w:val="003C60DD"/>
    <w:rsid w:val="003C6ED0"/>
    <w:rsid w:val="003C78EF"/>
    <w:rsid w:val="003C7DF4"/>
    <w:rsid w:val="003D28DB"/>
    <w:rsid w:val="003D5219"/>
    <w:rsid w:val="003D5467"/>
    <w:rsid w:val="003E0090"/>
    <w:rsid w:val="003E0B6E"/>
    <w:rsid w:val="003E138A"/>
    <w:rsid w:val="003E274D"/>
    <w:rsid w:val="003E3195"/>
    <w:rsid w:val="003E48E0"/>
    <w:rsid w:val="003E4F7D"/>
    <w:rsid w:val="003E5918"/>
    <w:rsid w:val="003E5B4C"/>
    <w:rsid w:val="003E7282"/>
    <w:rsid w:val="003F0B0C"/>
    <w:rsid w:val="003F138E"/>
    <w:rsid w:val="003F15F4"/>
    <w:rsid w:val="003F1659"/>
    <w:rsid w:val="003F1AF9"/>
    <w:rsid w:val="003F2C0A"/>
    <w:rsid w:val="003F7C36"/>
    <w:rsid w:val="00400A7E"/>
    <w:rsid w:val="00401243"/>
    <w:rsid w:val="00401917"/>
    <w:rsid w:val="00401AA3"/>
    <w:rsid w:val="00401B32"/>
    <w:rsid w:val="004023A6"/>
    <w:rsid w:val="00402434"/>
    <w:rsid w:val="00403A94"/>
    <w:rsid w:val="004042BE"/>
    <w:rsid w:val="00404DF5"/>
    <w:rsid w:val="004068C0"/>
    <w:rsid w:val="00406B0E"/>
    <w:rsid w:val="00407141"/>
    <w:rsid w:val="00410836"/>
    <w:rsid w:val="00410845"/>
    <w:rsid w:val="004111DA"/>
    <w:rsid w:val="004119E1"/>
    <w:rsid w:val="00411EBD"/>
    <w:rsid w:val="004122EF"/>
    <w:rsid w:val="00412DEB"/>
    <w:rsid w:val="00412E8A"/>
    <w:rsid w:val="00413485"/>
    <w:rsid w:val="00414B31"/>
    <w:rsid w:val="00415CFF"/>
    <w:rsid w:val="00416890"/>
    <w:rsid w:val="00420C3D"/>
    <w:rsid w:val="004222AA"/>
    <w:rsid w:val="00422FE3"/>
    <w:rsid w:val="00423B0B"/>
    <w:rsid w:val="00423CDE"/>
    <w:rsid w:val="0042476F"/>
    <w:rsid w:val="004253B2"/>
    <w:rsid w:val="00426A00"/>
    <w:rsid w:val="0043422D"/>
    <w:rsid w:val="00434D27"/>
    <w:rsid w:val="00435811"/>
    <w:rsid w:val="00436C7D"/>
    <w:rsid w:val="00437959"/>
    <w:rsid w:val="004407AE"/>
    <w:rsid w:val="00440C31"/>
    <w:rsid w:val="00440DE4"/>
    <w:rsid w:val="00441AAF"/>
    <w:rsid w:val="00441C12"/>
    <w:rsid w:val="00442969"/>
    <w:rsid w:val="00442AD5"/>
    <w:rsid w:val="00442F77"/>
    <w:rsid w:val="00443DDB"/>
    <w:rsid w:val="00444137"/>
    <w:rsid w:val="004443A8"/>
    <w:rsid w:val="00444B78"/>
    <w:rsid w:val="00446678"/>
    <w:rsid w:val="0044739A"/>
    <w:rsid w:val="00447DD4"/>
    <w:rsid w:val="00451E52"/>
    <w:rsid w:val="004539F6"/>
    <w:rsid w:val="00453B03"/>
    <w:rsid w:val="00453C05"/>
    <w:rsid w:val="00454B29"/>
    <w:rsid w:val="00454D0C"/>
    <w:rsid w:val="004550F9"/>
    <w:rsid w:val="0045547C"/>
    <w:rsid w:val="00456594"/>
    <w:rsid w:val="00457592"/>
    <w:rsid w:val="00462B6B"/>
    <w:rsid w:val="00462D9F"/>
    <w:rsid w:val="00463EA1"/>
    <w:rsid w:val="004673DA"/>
    <w:rsid w:val="004673DF"/>
    <w:rsid w:val="004677D1"/>
    <w:rsid w:val="00467B07"/>
    <w:rsid w:val="00470E1B"/>
    <w:rsid w:val="004718D1"/>
    <w:rsid w:val="00472A69"/>
    <w:rsid w:val="00473091"/>
    <w:rsid w:val="0047313F"/>
    <w:rsid w:val="00473525"/>
    <w:rsid w:val="00473550"/>
    <w:rsid w:val="00474D29"/>
    <w:rsid w:val="00476256"/>
    <w:rsid w:val="00476744"/>
    <w:rsid w:val="00476F9F"/>
    <w:rsid w:val="00477675"/>
    <w:rsid w:val="0048077A"/>
    <w:rsid w:val="00483F60"/>
    <w:rsid w:val="00484CCB"/>
    <w:rsid w:val="00485FC1"/>
    <w:rsid w:val="00486BDC"/>
    <w:rsid w:val="00487C6B"/>
    <w:rsid w:val="00493AB9"/>
    <w:rsid w:val="00494682"/>
    <w:rsid w:val="00494A73"/>
    <w:rsid w:val="00494CC6"/>
    <w:rsid w:val="004950F5"/>
    <w:rsid w:val="00495566"/>
    <w:rsid w:val="00496253"/>
    <w:rsid w:val="004A07DB"/>
    <w:rsid w:val="004A0FA8"/>
    <w:rsid w:val="004A155E"/>
    <w:rsid w:val="004A22AF"/>
    <w:rsid w:val="004A288C"/>
    <w:rsid w:val="004A28E7"/>
    <w:rsid w:val="004A2A9C"/>
    <w:rsid w:val="004A2AA7"/>
    <w:rsid w:val="004A2BF5"/>
    <w:rsid w:val="004A3601"/>
    <w:rsid w:val="004A37ED"/>
    <w:rsid w:val="004A3C7D"/>
    <w:rsid w:val="004A3DCA"/>
    <w:rsid w:val="004A5659"/>
    <w:rsid w:val="004A5B08"/>
    <w:rsid w:val="004A61DC"/>
    <w:rsid w:val="004A687F"/>
    <w:rsid w:val="004A6CF7"/>
    <w:rsid w:val="004A75C5"/>
    <w:rsid w:val="004B0C9E"/>
    <w:rsid w:val="004B1696"/>
    <w:rsid w:val="004B1FE9"/>
    <w:rsid w:val="004B2FDC"/>
    <w:rsid w:val="004B3822"/>
    <w:rsid w:val="004B545A"/>
    <w:rsid w:val="004B6CEA"/>
    <w:rsid w:val="004B6F13"/>
    <w:rsid w:val="004B7C04"/>
    <w:rsid w:val="004B7C0C"/>
    <w:rsid w:val="004C03CF"/>
    <w:rsid w:val="004C17A5"/>
    <w:rsid w:val="004C295F"/>
    <w:rsid w:val="004C4CC4"/>
    <w:rsid w:val="004C544E"/>
    <w:rsid w:val="004D0411"/>
    <w:rsid w:val="004D1EC8"/>
    <w:rsid w:val="004D3A56"/>
    <w:rsid w:val="004D5409"/>
    <w:rsid w:val="004D675A"/>
    <w:rsid w:val="004D6C40"/>
    <w:rsid w:val="004D6E50"/>
    <w:rsid w:val="004D7628"/>
    <w:rsid w:val="004E059F"/>
    <w:rsid w:val="004E0CA1"/>
    <w:rsid w:val="004E18D4"/>
    <w:rsid w:val="004E3124"/>
    <w:rsid w:val="004E37EB"/>
    <w:rsid w:val="004E3C46"/>
    <w:rsid w:val="004E42C9"/>
    <w:rsid w:val="004E476B"/>
    <w:rsid w:val="004E5018"/>
    <w:rsid w:val="004E52ED"/>
    <w:rsid w:val="004E621C"/>
    <w:rsid w:val="004E6FA2"/>
    <w:rsid w:val="004E78A5"/>
    <w:rsid w:val="004E7DFF"/>
    <w:rsid w:val="004F0A52"/>
    <w:rsid w:val="004F1045"/>
    <w:rsid w:val="004F18B7"/>
    <w:rsid w:val="004F309E"/>
    <w:rsid w:val="004F6EF1"/>
    <w:rsid w:val="00500C50"/>
    <w:rsid w:val="005029E6"/>
    <w:rsid w:val="00503C00"/>
    <w:rsid w:val="005051C0"/>
    <w:rsid w:val="005066B6"/>
    <w:rsid w:val="005079E6"/>
    <w:rsid w:val="00510D8D"/>
    <w:rsid w:val="005121E1"/>
    <w:rsid w:val="00512461"/>
    <w:rsid w:val="00512B70"/>
    <w:rsid w:val="005133BB"/>
    <w:rsid w:val="005135B0"/>
    <w:rsid w:val="005140BE"/>
    <w:rsid w:val="005142AA"/>
    <w:rsid w:val="005149B5"/>
    <w:rsid w:val="00515895"/>
    <w:rsid w:val="00516036"/>
    <w:rsid w:val="0051644D"/>
    <w:rsid w:val="00516CDA"/>
    <w:rsid w:val="0051773D"/>
    <w:rsid w:val="00520116"/>
    <w:rsid w:val="0052137B"/>
    <w:rsid w:val="00523115"/>
    <w:rsid w:val="005234B5"/>
    <w:rsid w:val="005238AB"/>
    <w:rsid w:val="005238F1"/>
    <w:rsid w:val="00524C92"/>
    <w:rsid w:val="005257BE"/>
    <w:rsid w:val="00526DC8"/>
    <w:rsid w:val="00527948"/>
    <w:rsid w:val="00531B02"/>
    <w:rsid w:val="005324CA"/>
    <w:rsid w:val="00532F02"/>
    <w:rsid w:val="00533118"/>
    <w:rsid w:val="00536F5D"/>
    <w:rsid w:val="005405C9"/>
    <w:rsid w:val="0054169F"/>
    <w:rsid w:val="00541DE7"/>
    <w:rsid w:val="005437C9"/>
    <w:rsid w:val="00545E7C"/>
    <w:rsid w:val="00547197"/>
    <w:rsid w:val="0054747C"/>
    <w:rsid w:val="0054787B"/>
    <w:rsid w:val="0055167D"/>
    <w:rsid w:val="00552204"/>
    <w:rsid w:val="0055262E"/>
    <w:rsid w:val="00552B99"/>
    <w:rsid w:val="005530C0"/>
    <w:rsid w:val="00553965"/>
    <w:rsid w:val="0055466F"/>
    <w:rsid w:val="0055589C"/>
    <w:rsid w:val="00555F2E"/>
    <w:rsid w:val="00557A59"/>
    <w:rsid w:val="00561E45"/>
    <w:rsid w:val="00561F2B"/>
    <w:rsid w:val="00562D25"/>
    <w:rsid w:val="00562F42"/>
    <w:rsid w:val="00564C68"/>
    <w:rsid w:val="00564C91"/>
    <w:rsid w:val="00564DEB"/>
    <w:rsid w:val="00565378"/>
    <w:rsid w:val="00565823"/>
    <w:rsid w:val="0056670A"/>
    <w:rsid w:val="0056688C"/>
    <w:rsid w:val="00566A76"/>
    <w:rsid w:val="005708FF"/>
    <w:rsid w:val="00570965"/>
    <w:rsid w:val="0057107C"/>
    <w:rsid w:val="00571609"/>
    <w:rsid w:val="00572148"/>
    <w:rsid w:val="0057222F"/>
    <w:rsid w:val="0057301B"/>
    <w:rsid w:val="005737CC"/>
    <w:rsid w:val="00573847"/>
    <w:rsid w:val="005741C7"/>
    <w:rsid w:val="005767B2"/>
    <w:rsid w:val="00576865"/>
    <w:rsid w:val="0057723A"/>
    <w:rsid w:val="00580FB3"/>
    <w:rsid w:val="0058220B"/>
    <w:rsid w:val="005822AF"/>
    <w:rsid w:val="005826D5"/>
    <w:rsid w:val="005841F4"/>
    <w:rsid w:val="00584751"/>
    <w:rsid w:val="00584E21"/>
    <w:rsid w:val="00585E23"/>
    <w:rsid w:val="00586D90"/>
    <w:rsid w:val="0059224D"/>
    <w:rsid w:val="0059301C"/>
    <w:rsid w:val="0059356B"/>
    <w:rsid w:val="005947ED"/>
    <w:rsid w:val="005965E9"/>
    <w:rsid w:val="005969D1"/>
    <w:rsid w:val="00596EA2"/>
    <w:rsid w:val="005A16A9"/>
    <w:rsid w:val="005A27BC"/>
    <w:rsid w:val="005A4206"/>
    <w:rsid w:val="005A4290"/>
    <w:rsid w:val="005A4781"/>
    <w:rsid w:val="005A57FD"/>
    <w:rsid w:val="005A6076"/>
    <w:rsid w:val="005A70A8"/>
    <w:rsid w:val="005A7AF8"/>
    <w:rsid w:val="005B0AB2"/>
    <w:rsid w:val="005B0E63"/>
    <w:rsid w:val="005B0F0F"/>
    <w:rsid w:val="005B1E3F"/>
    <w:rsid w:val="005B3759"/>
    <w:rsid w:val="005B5A5F"/>
    <w:rsid w:val="005C09B9"/>
    <w:rsid w:val="005C2DB4"/>
    <w:rsid w:val="005C340B"/>
    <w:rsid w:val="005C4F29"/>
    <w:rsid w:val="005C5345"/>
    <w:rsid w:val="005C58B5"/>
    <w:rsid w:val="005C5D80"/>
    <w:rsid w:val="005C6473"/>
    <w:rsid w:val="005C76C6"/>
    <w:rsid w:val="005D20E2"/>
    <w:rsid w:val="005D29DC"/>
    <w:rsid w:val="005D32B4"/>
    <w:rsid w:val="005D34DB"/>
    <w:rsid w:val="005D3E78"/>
    <w:rsid w:val="005D4376"/>
    <w:rsid w:val="005D4564"/>
    <w:rsid w:val="005D4666"/>
    <w:rsid w:val="005D5187"/>
    <w:rsid w:val="005D59D5"/>
    <w:rsid w:val="005E0071"/>
    <w:rsid w:val="005E0DB7"/>
    <w:rsid w:val="005E410C"/>
    <w:rsid w:val="005E41CC"/>
    <w:rsid w:val="005E5403"/>
    <w:rsid w:val="005E549A"/>
    <w:rsid w:val="005E6A41"/>
    <w:rsid w:val="005E722C"/>
    <w:rsid w:val="005E7B43"/>
    <w:rsid w:val="005F003A"/>
    <w:rsid w:val="005F0423"/>
    <w:rsid w:val="005F0E0D"/>
    <w:rsid w:val="005F0F5F"/>
    <w:rsid w:val="005F1F46"/>
    <w:rsid w:val="005F28C3"/>
    <w:rsid w:val="005F313C"/>
    <w:rsid w:val="005F3538"/>
    <w:rsid w:val="005F3A70"/>
    <w:rsid w:val="005F5924"/>
    <w:rsid w:val="0060071D"/>
    <w:rsid w:val="00600E12"/>
    <w:rsid w:val="006015C0"/>
    <w:rsid w:val="0060347C"/>
    <w:rsid w:val="00603A69"/>
    <w:rsid w:val="00604DD9"/>
    <w:rsid w:val="00607720"/>
    <w:rsid w:val="0061175B"/>
    <w:rsid w:val="00611EB1"/>
    <w:rsid w:val="00612943"/>
    <w:rsid w:val="00612982"/>
    <w:rsid w:val="00612B53"/>
    <w:rsid w:val="006131CF"/>
    <w:rsid w:val="00613F5D"/>
    <w:rsid w:val="00615A7D"/>
    <w:rsid w:val="00617CC2"/>
    <w:rsid w:val="00620121"/>
    <w:rsid w:val="006204E3"/>
    <w:rsid w:val="006207BF"/>
    <w:rsid w:val="006210AB"/>
    <w:rsid w:val="0062141E"/>
    <w:rsid w:val="00624369"/>
    <w:rsid w:val="00624676"/>
    <w:rsid w:val="00624E16"/>
    <w:rsid w:val="006270BB"/>
    <w:rsid w:val="00627688"/>
    <w:rsid w:val="0062776C"/>
    <w:rsid w:val="00627BE8"/>
    <w:rsid w:val="00627DB0"/>
    <w:rsid w:val="00627F3B"/>
    <w:rsid w:val="00630022"/>
    <w:rsid w:val="00631ABB"/>
    <w:rsid w:val="00632309"/>
    <w:rsid w:val="00632A9A"/>
    <w:rsid w:val="00635553"/>
    <w:rsid w:val="0063595F"/>
    <w:rsid w:val="006369AE"/>
    <w:rsid w:val="006371FF"/>
    <w:rsid w:val="00637430"/>
    <w:rsid w:val="00637A15"/>
    <w:rsid w:val="00637F22"/>
    <w:rsid w:val="00640E4A"/>
    <w:rsid w:val="00640FAB"/>
    <w:rsid w:val="0064121E"/>
    <w:rsid w:val="006412C9"/>
    <w:rsid w:val="00642557"/>
    <w:rsid w:val="00643053"/>
    <w:rsid w:val="00643479"/>
    <w:rsid w:val="006438B7"/>
    <w:rsid w:val="0064418C"/>
    <w:rsid w:val="0064466F"/>
    <w:rsid w:val="00645321"/>
    <w:rsid w:val="006454E4"/>
    <w:rsid w:val="00645C03"/>
    <w:rsid w:val="006479BE"/>
    <w:rsid w:val="00651580"/>
    <w:rsid w:val="00654853"/>
    <w:rsid w:val="0065552D"/>
    <w:rsid w:val="00656C81"/>
    <w:rsid w:val="0065787E"/>
    <w:rsid w:val="00660A56"/>
    <w:rsid w:val="006636AC"/>
    <w:rsid w:val="00664D39"/>
    <w:rsid w:val="00665272"/>
    <w:rsid w:val="00665AB4"/>
    <w:rsid w:val="006670B0"/>
    <w:rsid w:val="00667B00"/>
    <w:rsid w:val="0067047D"/>
    <w:rsid w:val="00671645"/>
    <w:rsid w:val="00672850"/>
    <w:rsid w:val="00673A57"/>
    <w:rsid w:val="006744D3"/>
    <w:rsid w:val="00674551"/>
    <w:rsid w:val="00674CD5"/>
    <w:rsid w:val="006761F5"/>
    <w:rsid w:val="00676876"/>
    <w:rsid w:val="00676932"/>
    <w:rsid w:val="006775C9"/>
    <w:rsid w:val="006813D3"/>
    <w:rsid w:val="00681D3F"/>
    <w:rsid w:val="00681E7F"/>
    <w:rsid w:val="0068207C"/>
    <w:rsid w:val="006828C2"/>
    <w:rsid w:val="006847AF"/>
    <w:rsid w:val="00684C9C"/>
    <w:rsid w:val="00684F78"/>
    <w:rsid w:val="006857F9"/>
    <w:rsid w:val="00685B47"/>
    <w:rsid w:val="00685C26"/>
    <w:rsid w:val="006861D0"/>
    <w:rsid w:val="00686275"/>
    <w:rsid w:val="006875C8"/>
    <w:rsid w:val="00687842"/>
    <w:rsid w:val="006928C7"/>
    <w:rsid w:val="006943E4"/>
    <w:rsid w:val="006946C4"/>
    <w:rsid w:val="00694DFE"/>
    <w:rsid w:val="0069522D"/>
    <w:rsid w:val="006956D5"/>
    <w:rsid w:val="006958F8"/>
    <w:rsid w:val="00695D6F"/>
    <w:rsid w:val="0069625A"/>
    <w:rsid w:val="0069633A"/>
    <w:rsid w:val="006969DD"/>
    <w:rsid w:val="00697F07"/>
    <w:rsid w:val="006A2973"/>
    <w:rsid w:val="006A331E"/>
    <w:rsid w:val="006A3653"/>
    <w:rsid w:val="006A4CC9"/>
    <w:rsid w:val="006A5248"/>
    <w:rsid w:val="006A5A57"/>
    <w:rsid w:val="006B0C46"/>
    <w:rsid w:val="006B105D"/>
    <w:rsid w:val="006B11DB"/>
    <w:rsid w:val="006B1F4E"/>
    <w:rsid w:val="006B2384"/>
    <w:rsid w:val="006B4123"/>
    <w:rsid w:val="006B43CD"/>
    <w:rsid w:val="006B4434"/>
    <w:rsid w:val="006B447A"/>
    <w:rsid w:val="006B44BF"/>
    <w:rsid w:val="006B531C"/>
    <w:rsid w:val="006B65BA"/>
    <w:rsid w:val="006B6DDA"/>
    <w:rsid w:val="006B7336"/>
    <w:rsid w:val="006B7717"/>
    <w:rsid w:val="006C1C4C"/>
    <w:rsid w:val="006C2016"/>
    <w:rsid w:val="006C232F"/>
    <w:rsid w:val="006C2598"/>
    <w:rsid w:val="006C309A"/>
    <w:rsid w:val="006C3336"/>
    <w:rsid w:val="006C42CB"/>
    <w:rsid w:val="006C527B"/>
    <w:rsid w:val="006C550E"/>
    <w:rsid w:val="006C6CD5"/>
    <w:rsid w:val="006C7625"/>
    <w:rsid w:val="006C7E37"/>
    <w:rsid w:val="006D0343"/>
    <w:rsid w:val="006D1417"/>
    <w:rsid w:val="006D1921"/>
    <w:rsid w:val="006D2711"/>
    <w:rsid w:val="006D2FEC"/>
    <w:rsid w:val="006D3303"/>
    <w:rsid w:val="006D4127"/>
    <w:rsid w:val="006D4756"/>
    <w:rsid w:val="006D484B"/>
    <w:rsid w:val="006D5587"/>
    <w:rsid w:val="006D61D2"/>
    <w:rsid w:val="006D7A9C"/>
    <w:rsid w:val="006D7F3A"/>
    <w:rsid w:val="006E16DB"/>
    <w:rsid w:val="006E1745"/>
    <w:rsid w:val="006E1AF3"/>
    <w:rsid w:val="006E1E3C"/>
    <w:rsid w:val="006E260B"/>
    <w:rsid w:val="006E3D22"/>
    <w:rsid w:val="006E3FCC"/>
    <w:rsid w:val="006E57D1"/>
    <w:rsid w:val="006E5F2A"/>
    <w:rsid w:val="006E6581"/>
    <w:rsid w:val="006E6740"/>
    <w:rsid w:val="006E7DEF"/>
    <w:rsid w:val="006F02F7"/>
    <w:rsid w:val="006F13B2"/>
    <w:rsid w:val="006F2537"/>
    <w:rsid w:val="006F360A"/>
    <w:rsid w:val="006F5168"/>
    <w:rsid w:val="006F5784"/>
    <w:rsid w:val="006F6A5D"/>
    <w:rsid w:val="00700A87"/>
    <w:rsid w:val="0070190C"/>
    <w:rsid w:val="00703597"/>
    <w:rsid w:val="00703A6D"/>
    <w:rsid w:val="0070428B"/>
    <w:rsid w:val="00705CE1"/>
    <w:rsid w:val="00706E68"/>
    <w:rsid w:val="00710F86"/>
    <w:rsid w:val="00711173"/>
    <w:rsid w:val="007122AC"/>
    <w:rsid w:val="0071303D"/>
    <w:rsid w:val="0071323B"/>
    <w:rsid w:val="00714155"/>
    <w:rsid w:val="00714528"/>
    <w:rsid w:val="007226AD"/>
    <w:rsid w:val="00723D08"/>
    <w:rsid w:val="00724128"/>
    <w:rsid w:val="00725A11"/>
    <w:rsid w:val="0072625C"/>
    <w:rsid w:val="00727777"/>
    <w:rsid w:val="00730947"/>
    <w:rsid w:val="00730C52"/>
    <w:rsid w:val="00731FF9"/>
    <w:rsid w:val="00734577"/>
    <w:rsid w:val="007359D6"/>
    <w:rsid w:val="007360F5"/>
    <w:rsid w:val="00736502"/>
    <w:rsid w:val="007416A9"/>
    <w:rsid w:val="00742301"/>
    <w:rsid w:val="007425F7"/>
    <w:rsid w:val="00742CD1"/>
    <w:rsid w:val="007445D6"/>
    <w:rsid w:val="0074479E"/>
    <w:rsid w:val="00745C6D"/>
    <w:rsid w:val="0074604D"/>
    <w:rsid w:val="007479C2"/>
    <w:rsid w:val="00747A6B"/>
    <w:rsid w:val="00747A8E"/>
    <w:rsid w:val="00750C0E"/>
    <w:rsid w:val="007521F3"/>
    <w:rsid w:val="007528FC"/>
    <w:rsid w:val="00752D49"/>
    <w:rsid w:val="00753DDD"/>
    <w:rsid w:val="00753E9A"/>
    <w:rsid w:val="00755C48"/>
    <w:rsid w:val="00755FEC"/>
    <w:rsid w:val="00756167"/>
    <w:rsid w:val="0076098F"/>
    <w:rsid w:val="00761E72"/>
    <w:rsid w:val="00763BE6"/>
    <w:rsid w:val="00763D96"/>
    <w:rsid w:val="0076444C"/>
    <w:rsid w:val="00764B47"/>
    <w:rsid w:val="007656DA"/>
    <w:rsid w:val="00766851"/>
    <w:rsid w:val="00767D26"/>
    <w:rsid w:val="007701D3"/>
    <w:rsid w:val="00772B86"/>
    <w:rsid w:val="00773A98"/>
    <w:rsid w:val="00773D3B"/>
    <w:rsid w:val="00774085"/>
    <w:rsid w:val="007746FD"/>
    <w:rsid w:val="00775B88"/>
    <w:rsid w:val="00775E1D"/>
    <w:rsid w:val="00776234"/>
    <w:rsid w:val="00776E02"/>
    <w:rsid w:val="00777D7F"/>
    <w:rsid w:val="007817AF"/>
    <w:rsid w:val="00781967"/>
    <w:rsid w:val="00783F78"/>
    <w:rsid w:val="0078513E"/>
    <w:rsid w:val="007871EF"/>
    <w:rsid w:val="00787BE9"/>
    <w:rsid w:val="007909F8"/>
    <w:rsid w:val="00790E13"/>
    <w:rsid w:val="00793DFE"/>
    <w:rsid w:val="0079588F"/>
    <w:rsid w:val="00795F58"/>
    <w:rsid w:val="007968C9"/>
    <w:rsid w:val="007A06F3"/>
    <w:rsid w:val="007A3E96"/>
    <w:rsid w:val="007A60D2"/>
    <w:rsid w:val="007A6C73"/>
    <w:rsid w:val="007A7921"/>
    <w:rsid w:val="007A7E65"/>
    <w:rsid w:val="007B1D84"/>
    <w:rsid w:val="007B2A04"/>
    <w:rsid w:val="007B32BA"/>
    <w:rsid w:val="007B4871"/>
    <w:rsid w:val="007B54BC"/>
    <w:rsid w:val="007B71D7"/>
    <w:rsid w:val="007B7C77"/>
    <w:rsid w:val="007C1493"/>
    <w:rsid w:val="007C1972"/>
    <w:rsid w:val="007C1FCD"/>
    <w:rsid w:val="007C21E0"/>
    <w:rsid w:val="007C2B7D"/>
    <w:rsid w:val="007C2D0C"/>
    <w:rsid w:val="007C3775"/>
    <w:rsid w:val="007C39B5"/>
    <w:rsid w:val="007C4D30"/>
    <w:rsid w:val="007C68C5"/>
    <w:rsid w:val="007C6CCE"/>
    <w:rsid w:val="007D0198"/>
    <w:rsid w:val="007D1D4C"/>
    <w:rsid w:val="007D26CC"/>
    <w:rsid w:val="007D527F"/>
    <w:rsid w:val="007D5514"/>
    <w:rsid w:val="007D6422"/>
    <w:rsid w:val="007D6BFF"/>
    <w:rsid w:val="007E076D"/>
    <w:rsid w:val="007E1BFD"/>
    <w:rsid w:val="007E1C8F"/>
    <w:rsid w:val="007E338A"/>
    <w:rsid w:val="007E40C0"/>
    <w:rsid w:val="007E417F"/>
    <w:rsid w:val="007E4390"/>
    <w:rsid w:val="007E47B8"/>
    <w:rsid w:val="007E724C"/>
    <w:rsid w:val="007F0427"/>
    <w:rsid w:val="007F2130"/>
    <w:rsid w:val="007F2686"/>
    <w:rsid w:val="007F415E"/>
    <w:rsid w:val="007F43B2"/>
    <w:rsid w:val="007F4683"/>
    <w:rsid w:val="007F4C43"/>
    <w:rsid w:val="007F5F26"/>
    <w:rsid w:val="00800A58"/>
    <w:rsid w:val="00800ACC"/>
    <w:rsid w:val="008016C2"/>
    <w:rsid w:val="0080542A"/>
    <w:rsid w:val="0080613C"/>
    <w:rsid w:val="00807B95"/>
    <w:rsid w:val="008115A7"/>
    <w:rsid w:val="00811EDA"/>
    <w:rsid w:val="00811F3E"/>
    <w:rsid w:val="00814826"/>
    <w:rsid w:val="00816E89"/>
    <w:rsid w:val="00817AE8"/>
    <w:rsid w:val="0082045F"/>
    <w:rsid w:val="00820967"/>
    <w:rsid w:val="008217F3"/>
    <w:rsid w:val="00821F00"/>
    <w:rsid w:val="00823796"/>
    <w:rsid w:val="008249E6"/>
    <w:rsid w:val="00826372"/>
    <w:rsid w:val="00826D72"/>
    <w:rsid w:val="00827627"/>
    <w:rsid w:val="00827872"/>
    <w:rsid w:val="0082796F"/>
    <w:rsid w:val="00830F7C"/>
    <w:rsid w:val="00833992"/>
    <w:rsid w:val="00833BE5"/>
    <w:rsid w:val="00833D90"/>
    <w:rsid w:val="008355D1"/>
    <w:rsid w:val="00835707"/>
    <w:rsid w:val="00835AB6"/>
    <w:rsid w:val="0084036E"/>
    <w:rsid w:val="008408D4"/>
    <w:rsid w:val="008415D0"/>
    <w:rsid w:val="00842250"/>
    <w:rsid w:val="0084330D"/>
    <w:rsid w:val="00844B90"/>
    <w:rsid w:val="00846A36"/>
    <w:rsid w:val="00846C9D"/>
    <w:rsid w:val="00847EE0"/>
    <w:rsid w:val="0085319E"/>
    <w:rsid w:val="008548B3"/>
    <w:rsid w:val="008559E0"/>
    <w:rsid w:val="00855CC7"/>
    <w:rsid w:val="00855D63"/>
    <w:rsid w:val="00856FEA"/>
    <w:rsid w:val="008578CD"/>
    <w:rsid w:val="008607BA"/>
    <w:rsid w:val="00860B4C"/>
    <w:rsid w:val="008610D8"/>
    <w:rsid w:val="00861C8B"/>
    <w:rsid w:val="00861E3F"/>
    <w:rsid w:val="008621DB"/>
    <w:rsid w:val="00862C52"/>
    <w:rsid w:val="008634F8"/>
    <w:rsid w:val="00864BCD"/>
    <w:rsid w:val="008652D2"/>
    <w:rsid w:val="00866AE6"/>
    <w:rsid w:val="0086725F"/>
    <w:rsid w:val="00867C64"/>
    <w:rsid w:val="0087228D"/>
    <w:rsid w:val="008741F5"/>
    <w:rsid w:val="00875C76"/>
    <w:rsid w:val="00877D06"/>
    <w:rsid w:val="00881075"/>
    <w:rsid w:val="00881B62"/>
    <w:rsid w:val="0088214F"/>
    <w:rsid w:val="0088236B"/>
    <w:rsid w:val="008832CC"/>
    <w:rsid w:val="008842B6"/>
    <w:rsid w:val="00884819"/>
    <w:rsid w:val="00884F43"/>
    <w:rsid w:val="00886002"/>
    <w:rsid w:val="008864D2"/>
    <w:rsid w:val="0088670B"/>
    <w:rsid w:val="008870C1"/>
    <w:rsid w:val="0088747E"/>
    <w:rsid w:val="008902FD"/>
    <w:rsid w:val="008909C9"/>
    <w:rsid w:val="00890A69"/>
    <w:rsid w:val="00890EBD"/>
    <w:rsid w:val="00890F8F"/>
    <w:rsid w:val="008918F5"/>
    <w:rsid w:val="00891965"/>
    <w:rsid w:val="0089362C"/>
    <w:rsid w:val="00896C6C"/>
    <w:rsid w:val="00897262"/>
    <w:rsid w:val="00897A2A"/>
    <w:rsid w:val="008A053A"/>
    <w:rsid w:val="008A3F8D"/>
    <w:rsid w:val="008A5685"/>
    <w:rsid w:val="008A56F1"/>
    <w:rsid w:val="008A6BED"/>
    <w:rsid w:val="008B28A0"/>
    <w:rsid w:val="008B2CA6"/>
    <w:rsid w:val="008B3A14"/>
    <w:rsid w:val="008B4ECE"/>
    <w:rsid w:val="008C02BD"/>
    <w:rsid w:val="008C04E1"/>
    <w:rsid w:val="008C1A71"/>
    <w:rsid w:val="008C2363"/>
    <w:rsid w:val="008C39B1"/>
    <w:rsid w:val="008C40E3"/>
    <w:rsid w:val="008C4E6B"/>
    <w:rsid w:val="008D0953"/>
    <w:rsid w:val="008D0D24"/>
    <w:rsid w:val="008D2029"/>
    <w:rsid w:val="008D3087"/>
    <w:rsid w:val="008D38C1"/>
    <w:rsid w:val="008D3B33"/>
    <w:rsid w:val="008D420A"/>
    <w:rsid w:val="008D4652"/>
    <w:rsid w:val="008D5B54"/>
    <w:rsid w:val="008D7A3D"/>
    <w:rsid w:val="008E1042"/>
    <w:rsid w:val="008E2D23"/>
    <w:rsid w:val="008E3640"/>
    <w:rsid w:val="008E408C"/>
    <w:rsid w:val="008E43B4"/>
    <w:rsid w:val="008E4E73"/>
    <w:rsid w:val="008E5366"/>
    <w:rsid w:val="008E5455"/>
    <w:rsid w:val="008E68CC"/>
    <w:rsid w:val="008E6989"/>
    <w:rsid w:val="008E6A83"/>
    <w:rsid w:val="008E6E15"/>
    <w:rsid w:val="008E7162"/>
    <w:rsid w:val="008E7511"/>
    <w:rsid w:val="008F0F7F"/>
    <w:rsid w:val="008F1C19"/>
    <w:rsid w:val="008F2C61"/>
    <w:rsid w:val="008F4102"/>
    <w:rsid w:val="008F45F6"/>
    <w:rsid w:val="008F6853"/>
    <w:rsid w:val="009002A8"/>
    <w:rsid w:val="009009F3"/>
    <w:rsid w:val="00901623"/>
    <w:rsid w:val="009017DE"/>
    <w:rsid w:val="00902D5E"/>
    <w:rsid w:val="009031EE"/>
    <w:rsid w:val="00903212"/>
    <w:rsid w:val="009044AD"/>
    <w:rsid w:val="00904DD7"/>
    <w:rsid w:val="0090544F"/>
    <w:rsid w:val="0090642F"/>
    <w:rsid w:val="009068F9"/>
    <w:rsid w:val="00907531"/>
    <w:rsid w:val="00907651"/>
    <w:rsid w:val="00907D03"/>
    <w:rsid w:val="00910720"/>
    <w:rsid w:val="00910998"/>
    <w:rsid w:val="009117E7"/>
    <w:rsid w:val="00911E08"/>
    <w:rsid w:val="00914570"/>
    <w:rsid w:val="009175E9"/>
    <w:rsid w:val="00917B89"/>
    <w:rsid w:val="00917EE0"/>
    <w:rsid w:val="009213BA"/>
    <w:rsid w:val="00921D22"/>
    <w:rsid w:val="00921E63"/>
    <w:rsid w:val="00922D9F"/>
    <w:rsid w:val="00924232"/>
    <w:rsid w:val="009270BA"/>
    <w:rsid w:val="00927B68"/>
    <w:rsid w:val="009308DC"/>
    <w:rsid w:val="00931091"/>
    <w:rsid w:val="00932009"/>
    <w:rsid w:val="00932441"/>
    <w:rsid w:val="00932628"/>
    <w:rsid w:val="009346A6"/>
    <w:rsid w:val="00935684"/>
    <w:rsid w:val="00935A95"/>
    <w:rsid w:val="00936CB4"/>
    <w:rsid w:val="0093782D"/>
    <w:rsid w:val="00940D22"/>
    <w:rsid w:val="00940E98"/>
    <w:rsid w:val="00941E4B"/>
    <w:rsid w:val="00943797"/>
    <w:rsid w:val="009439E7"/>
    <w:rsid w:val="00945A05"/>
    <w:rsid w:val="00945E86"/>
    <w:rsid w:val="009467B0"/>
    <w:rsid w:val="0094799C"/>
    <w:rsid w:val="00947FC6"/>
    <w:rsid w:val="00950BDB"/>
    <w:rsid w:val="00950C0A"/>
    <w:rsid w:val="009512B1"/>
    <w:rsid w:val="00951C48"/>
    <w:rsid w:val="009531C1"/>
    <w:rsid w:val="009536E9"/>
    <w:rsid w:val="00953D99"/>
    <w:rsid w:val="00954102"/>
    <w:rsid w:val="009553A4"/>
    <w:rsid w:val="00957999"/>
    <w:rsid w:val="00957BC1"/>
    <w:rsid w:val="00957E93"/>
    <w:rsid w:val="009602C7"/>
    <w:rsid w:val="00961B34"/>
    <w:rsid w:val="009620F7"/>
    <w:rsid w:val="00962824"/>
    <w:rsid w:val="00964AB1"/>
    <w:rsid w:val="0096547B"/>
    <w:rsid w:val="009657AF"/>
    <w:rsid w:val="00965878"/>
    <w:rsid w:val="00966E7D"/>
    <w:rsid w:val="009675A8"/>
    <w:rsid w:val="0097086F"/>
    <w:rsid w:val="00971E93"/>
    <w:rsid w:val="00972287"/>
    <w:rsid w:val="00975EF6"/>
    <w:rsid w:val="00976AD2"/>
    <w:rsid w:val="00976CC9"/>
    <w:rsid w:val="00981C2E"/>
    <w:rsid w:val="009826EE"/>
    <w:rsid w:val="00983411"/>
    <w:rsid w:val="00985126"/>
    <w:rsid w:val="00986091"/>
    <w:rsid w:val="0098694B"/>
    <w:rsid w:val="00986A60"/>
    <w:rsid w:val="00987563"/>
    <w:rsid w:val="00987E7C"/>
    <w:rsid w:val="00990180"/>
    <w:rsid w:val="0099177C"/>
    <w:rsid w:val="009925AC"/>
    <w:rsid w:val="00993F08"/>
    <w:rsid w:val="00994232"/>
    <w:rsid w:val="00994FC3"/>
    <w:rsid w:val="00995ECE"/>
    <w:rsid w:val="00996ABF"/>
    <w:rsid w:val="00996E6B"/>
    <w:rsid w:val="0099780A"/>
    <w:rsid w:val="009A0CE2"/>
    <w:rsid w:val="009A3BC0"/>
    <w:rsid w:val="009A54BD"/>
    <w:rsid w:val="009A5647"/>
    <w:rsid w:val="009A660A"/>
    <w:rsid w:val="009A6F2C"/>
    <w:rsid w:val="009B0B70"/>
    <w:rsid w:val="009B2864"/>
    <w:rsid w:val="009B2A5A"/>
    <w:rsid w:val="009B312D"/>
    <w:rsid w:val="009B42AD"/>
    <w:rsid w:val="009B7826"/>
    <w:rsid w:val="009C04B3"/>
    <w:rsid w:val="009C0FE4"/>
    <w:rsid w:val="009C3C15"/>
    <w:rsid w:val="009C3DF9"/>
    <w:rsid w:val="009C4771"/>
    <w:rsid w:val="009C4A5B"/>
    <w:rsid w:val="009C4B1C"/>
    <w:rsid w:val="009C5FA2"/>
    <w:rsid w:val="009D1EBB"/>
    <w:rsid w:val="009D5A15"/>
    <w:rsid w:val="009D6AB0"/>
    <w:rsid w:val="009D6F5E"/>
    <w:rsid w:val="009D754F"/>
    <w:rsid w:val="009D775B"/>
    <w:rsid w:val="009D7DD7"/>
    <w:rsid w:val="009E0223"/>
    <w:rsid w:val="009E219C"/>
    <w:rsid w:val="009E2C41"/>
    <w:rsid w:val="009E2D64"/>
    <w:rsid w:val="009E2E62"/>
    <w:rsid w:val="009E4999"/>
    <w:rsid w:val="009E69CC"/>
    <w:rsid w:val="009E6DBE"/>
    <w:rsid w:val="009E7EB3"/>
    <w:rsid w:val="009F1BAE"/>
    <w:rsid w:val="009F2822"/>
    <w:rsid w:val="009F29D4"/>
    <w:rsid w:val="009F2CF1"/>
    <w:rsid w:val="009F2D2F"/>
    <w:rsid w:val="009F36CE"/>
    <w:rsid w:val="009F43C8"/>
    <w:rsid w:val="009F5DAA"/>
    <w:rsid w:val="009F6B09"/>
    <w:rsid w:val="009F6D2B"/>
    <w:rsid w:val="009F734B"/>
    <w:rsid w:val="009F7558"/>
    <w:rsid w:val="00A004CF"/>
    <w:rsid w:val="00A00E41"/>
    <w:rsid w:val="00A02086"/>
    <w:rsid w:val="00A0221D"/>
    <w:rsid w:val="00A02D66"/>
    <w:rsid w:val="00A04BA9"/>
    <w:rsid w:val="00A0598B"/>
    <w:rsid w:val="00A06ABC"/>
    <w:rsid w:val="00A06EBA"/>
    <w:rsid w:val="00A07199"/>
    <w:rsid w:val="00A07F76"/>
    <w:rsid w:val="00A112F6"/>
    <w:rsid w:val="00A11415"/>
    <w:rsid w:val="00A131DF"/>
    <w:rsid w:val="00A137AF"/>
    <w:rsid w:val="00A13C90"/>
    <w:rsid w:val="00A14564"/>
    <w:rsid w:val="00A1597F"/>
    <w:rsid w:val="00A15D48"/>
    <w:rsid w:val="00A166CD"/>
    <w:rsid w:val="00A16E6C"/>
    <w:rsid w:val="00A16F3C"/>
    <w:rsid w:val="00A16FAF"/>
    <w:rsid w:val="00A22EDA"/>
    <w:rsid w:val="00A2318A"/>
    <w:rsid w:val="00A23BE2"/>
    <w:rsid w:val="00A2502A"/>
    <w:rsid w:val="00A25F96"/>
    <w:rsid w:val="00A30E73"/>
    <w:rsid w:val="00A31C43"/>
    <w:rsid w:val="00A32297"/>
    <w:rsid w:val="00A32324"/>
    <w:rsid w:val="00A323CE"/>
    <w:rsid w:val="00A32DF5"/>
    <w:rsid w:val="00A34470"/>
    <w:rsid w:val="00A34816"/>
    <w:rsid w:val="00A34CF3"/>
    <w:rsid w:val="00A35639"/>
    <w:rsid w:val="00A37D13"/>
    <w:rsid w:val="00A37D43"/>
    <w:rsid w:val="00A403FD"/>
    <w:rsid w:val="00A406B1"/>
    <w:rsid w:val="00A40FFA"/>
    <w:rsid w:val="00A42369"/>
    <w:rsid w:val="00A4331C"/>
    <w:rsid w:val="00A45CFD"/>
    <w:rsid w:val="00A45D64"/>
    <w:rsid w:val="00A46EC8"/>
    <w:rsid w:val="00A50673"/>
    <w:rsid w:val="00A50DCF"/>
    <w:rsid w:val="00A51383"/>
    <w:rsid w:val="00A51EC0"/>
    <w:rsid w:val="00A52B6F"/>
    <w:rsid w:val="00A54784"/>
    <w:rsid w:val="00A561A2"/>
    <w:rsid w:val="00A567D5"/>
    <w:rsid w:val="00A5772F"/>
    <w:rsid w:val="00A6005F"/>
    <w:rsid w:val="00A61109"/>
    <w:rsid w:val="00A61E69"/>
    <w:rsid w:val="00A6340B"/>
    <w:rsid w:val="00A64DC2"/>
    <w:rsid w:val="00A651DD"/>
    <w:rsid w:val="00A66665"/>
    <w:rsid w:val="00A66D5B"/>
    <w:rsid w:val="00A67D93"/>
    <w:rsid w:val="00A70A0B"/>
    <w:rsid w:val="00A719D4"/>
    <w:rsid w:val="00A72687"/>
    <w:rsid w:val="00A7376C"/>
    <w:rsid w:val="00A73D76"/>
    <w:rsid w:val="00A74713"/>
    <w:rsid w:val="00A75673"/>
    <w:rsid w:val="00A76113"/>
    <w:rsid w:val="00A762E4"/>
    <w:rsid w:val="00A77FA5"/>
    <w:rsid w:val="00A802CA"/>
    <w:rsid w:val="00A82ED1"/>
    <w:rsid w:val="00A832D1"/>
    <w:rsid w:val="00A852D6"/>
    <w:rsid w:val="00A8617D"/>
    <w:rsid w:val="00A865BE"/>
    <w:rsid w:val="00A865F1"/>
    <w:rsid w:val="00A86A46"/>
    <w:rsid w:val="00A90C87"/>
    <w:rsid w:val="00A9219C"/>
    <w:rsid w:val="00A92C39"/>
    <w:rsid w:val="00A9446D"/>
    <w:rsid w:val="00A94A1B"/>
    <w:rsid w:val="00A95E5D"/>
    <w:rsid w:val="00A97C68"/>
    <w:rsid w:val="00AA1CD1"/>
    <w:rsid w:val="00AA2FB7"/>
    <w:rsid w:val="00AA35B0"/>
    <w:rsid w:val="00AA39B9"/>
    <w:rsid w:val="00AA4D14"/>
    <w:rsid w:val="00AA5B09"/>
    <w:rsid w:val="00AA649C"/>
    <w:rsid w:val="00AA6C6C"/>
    <w:rsid w:val="00AA753E"/>
    <w:rsid w:val="00AA76F8"/>
    <w:rsid w:val="00AA798F"/>
    <w:rsid w:val="00AB03DC"/>
    <w:rsid w:val="00AB06F4"/>
    <w:rsid w:val="00AB2A5C"/>
    <w:rsid w:val="00AB695F"/>
    <w:rsid w:val="00AB7F52"/>
    <w:rsid w:val="00AC1D69"/>
    <w:rsid w:val="00AC2333"/>
    <w:rsid w:val="00AC2F8B"/>
    <w:rsid w:val="00AC33F2"/>
    <w:rsid w:val="00AC42DA"/>
    <w:rsid w:val="00AC46DE"/>
    <w:rsid w:val="00AC58E6"/>
    <w:rsid w:val="00AC756B"/>
    <w:rsid w:val="00AD05E7"/>
    <w:rsid w:val="00AD1F2C"/>
    <w:rsid w:val="00AD3648"/>
    <w:rsid w:val="00AD4F52"/>
    <w:rsid w:val="00AD572C"/>
    <w:rsid w:val="00AD59B5"/>
    <w:rsid w:val="00AD6573"/>
    <w:rsid w:val="00AE1D29"/>
    <w:rsid w:val="00AE1DB2"/>
    <w:rsid w:val="00AE33D4"/>
    <w:rsid w:val="00AE42B2"/>
    <w:rsid w:val="00AE4792"/>
    <w:rsid w:val="00AE5264"/>
    <w:rsid w:val="00AE54D9"/>
    <w:rsid w:val="00AE566C"/>
    <w:rsid w:val="00AE5A4C"/>
    <w:rsid w:val="00AE5D6A"/>
    <w:rsid w:val="00AE66C6"/>
    <w:rsid w:val="00AF0C77"/>
    <w:rsid w:val="00AF1CA9"/>
    <w:rsid w:val="00AF1E33"/>
    <w:rsid w:val="00AF2DFF"/>
    <w:rsid w:val="00AF301E"/>
    <w:rsid w:val="00AF33E6"/>
    <w:rsid w:val="00AF5F3D"/>
    <w:rsid w:val="00AF651E"/>
    <w:rsid w:val="00AF6751"/>
    <w:rsid w:val="00AF7C8B"/>
    <w:rsid w:val="00B00594"/>
    <w:rsid w:val="00B018BF"/>
    <w:rsid w:val="00B01B09"/>
    <w:rsid w:val="00B02601"/>
    <w:rsid w:val="00B02D1A"/>
    <w:rsid w:val="00B03312"/>
    <w:rsid w:val="00B033BF"/>
    <w:rsid w:val="00B03912"/>
    <w:rsid w:val="00B039C7"/>
    <w:rsid w:val="00B03A93"/>
    <w:rsid w:val="00B03B6A"/>
    <w:rsid w:val="00B04735"/>
    <w:rsid w:val="00B069D6"/>
    <w:rsid w:val="00B07098"/>
    <w:rsid w:val="00B076BE"/>
    <w:rsid w:val="00B100E2"/>
    <w:rsid w:val="00B100E9"/>
    <w:rsid w:val="00B103BB"/>
    <w:rsid w:val="00B11B04"/>
    <w:rsid w:val="00B12512"/>
    <w:rsid w:val="00B13159"/>
    <w:rsid w:val="00B141E8"/>
    <w:rsid w:val="00B15854"/>
    <w:rsid w:val="00B15DE3"/>
    <w:rsid w:val="00B17161"/>
    <w:rsid w:val="00B1738E"/>
    <w:rsid w:val="00B2221F"/>
    <w:rsid w:val="00B22990"/>
    <w:rsid w:val="00B23272"/>
    <w:rsid w:val="00B24922"/>
    <w:rsid w:val="00B24B1C"/>
    <w:rsid w:val="00B25626"/>
    <w:rsid w:val="00B27244"/>
    <w:rsid w:val="00B27688"/>
    <w:rsid w:val="00B30D3B"/>
    <w:rsid w:val="00B326A0"/>
    <w:rsid w:val="00B32E98"/>
    <w:rsid w:val="00B339DA"/>
    <w:rsid w:val="00B33B55"/>
    <w:rsid w:val="00B33DE5"/>
    <w:rsid w:val="00B35094"/>
    <w:rsid w:val="00B35417"/>
    <w:rsid w:val="00B366C7"/>
    <w:rsid w:val="00B36A11"/>
    <w:rsid w:val="00B370BA"/>
    <w:rsid w:val="00B406C5"/>
    <w:rsid w:val="00B40FC1"/>
    <w:rsid w:val="00B410EA"/>
    <w:rsid w:val="00B42AEB"/>
    <w:rsid w:val="00B431C6"/>
    <w:rsid w:val="00B43DA9"/>
    <w:rsid w:val="00B44E32"/>
    <w:rsid w:val="00B46F8D"/>
    <w:rsid w:val="00B50D82"/>
    <w:rsid w:val="00B5416B"/>
    <w:rsid w:val="00B54847"/>
    <w:rsid w:val="00B54F9A"/>
    <w:rsid w:val="00B5508A"/>
    <w:rsid w:val="00B55CC3"/>
    <w:rsid w:val="00B56606"/>
    <w:rsid w:val="00B572EE"/>
    <w:rsid w:val="00B6059B"/>
    <w:rsid w:val="00B62092"/>
    <w:rsid w:val="00B62917"/>
    <w:rsid w:val="00B62A46"/>
    <w:rsid w:val="00B640FB"/>
    <w:rsid w:val="00B6428E"/>
    <w:rsid w:val="00B64724"/>
    <w:rsid w:val="00B64E35"/>
    <w:rsid w:val="00B65316"/>
    <w:rsid w:val="00B701D5"/>
    <w:rsid w:val="00B7073B"/>
    <w:rsid w:val="00B71142"/>
    <w:rsid w:val="00B766B5"/>
    <w:rsid w:val="00B80E81"/>
    <w:rsid w:val="00B81959"/>
    <w:rsid w:val="00B81E57"/>
    <w:rsid w:val="00B8287E"/>
    <w:rsid w:val="00B84574"/>
    <w:rsid w:val="00B850E2"/>
    <w:rsid w:val="00B852D6"/>
    <w:rsid w:val="00B85EC7"/>
    <w:rsid w:val="00B862B4"/>
    <w:rsid w:val="00B86825"/>
    <w:rsid w:val="00B90040"/>
    <w:rsid w:val="00B909F2"/>
    <w:rsid w:val="00B91249"/>
    <w:rsid w:val="00B91D2D"/>
    <w:rsid w:val="00B93A47"/>
    <w:rsid w:val="00B93D43"/>
    <w:rsid w:val="00B94012"/>
    <w:rsid w:val="00B9443A"/>
    <w:rsid w:val="00B947EC"/>
    <w:rsid w:val="00B9556A"/>
    <w:rsid w:val="00B9690B"/>
    <w:rsid w:val="00B96A9A"/>
    <w:rsid w:val="00B975EC"/>
    <w:rsid w:val="00BA02C6"/>
    <w:rsid w:val="00BA4A75"/>
    <w:rsid w:val="00BA4E82"/>
    <w:rsid w:val="00BA5B55"/>
    <w:rsid w:val="00BA5CA5"/>
    <w:rsid w:val="00BB221E"/>
    <w:rsid w:val="00BB26A4"/>
    <w:rsid w:val="00BB2FD2"/>
    <w:rsid w:val="00BB3130"/>
    <w:rsid w:val="00BB3B6E"/>
    <w:rsid w:val="00BB4B41"/>
    <w:rsid w:val="00BB5345"/>
    <w:rsid w:val="00BB5DC4"/>
    <w:rsid w:val="00BB6957"/>
    <w:rsid w:val="00BB75B8"/>
    <w:rsid w:val="00BC0137"/>
    <w:rsid w:val="00BC0A65"/>
    <w:rsid w:val="00BC1F52"/>
    <w:rsid w:val="00BC322F"/>
    <w:rsid w:val="00BC46A1"/>
    <w:rsid w:val="00BC54D7"/>
    <w:rsid w:val="00BC570C"/>
    <w:rsid w:val="00BC5B49"/>
    <w:rsid w:val="00BC6C0F"/>
    <w:rsid w:val="00BC79BB"/>
    <w:rsid w:val="00BC7E35"/>
    <w:rsid w:val="00BC7ED9"/>
    <w:rsid w:val="00BD0C44"/>
    <w:rsid w:val="00BD15A4"/>
    <w:rsid w:val="00BD3013"/>
    <w:rsid w:val="00BD424D"/>
    <w:rsid w:val="00BD4A9C"/>
    <w:rsid w:val="00BD4F18"/>
    <w:rsid w:val="00BD590C"/>
    <w:rsid w:val="00BD6525"/>
    <w:rsid w:val="00BD6ED3"/>
    <w:rsid w:val="00BD6EEC"/>
    <w:rsid w:val="00BD7A04"/>
    <w:rsid w:val="00BE07AE"/>
    <w:rsid w:val="00BE359C"/>
    <w:rsid w:val="00BE3D39"/>
    <w:rsid w:val="00BE41B9"/>
    <w:rsid w:val="00BE4208"/>
    <w:rsid w:val="00BE59F8"/>
    <w:rsid w:val="00BE6028"/>
    <w:rsid w:val="00BE69B3"/>
    <w:rsid w:val="00BE6A92"/>
    <w:rsid w:val="00BE6B8C"/>
    <w:rsid w:val="00BE6D0B"/>
    <w:rsid w:val="00BE70BE"/>
    <w:rsid w:val="00BE7B90"/>
    <w:rsid w:val="00BE7F89"/>
    <w:rsid w:val="00BF0986"/>
    <w:rsid w:val="00BF29A3"/>
    <w:rsid w:val="00BF3345"/>
    <w:rsid w:val="00BF395F"/>
    <w:rsid w:val="00BF4194"/>
    <w:rsid w:val="00BF5160"/>
    <w:rsid w:val="00BF52CD"/>
    <w:rsid w:val="00BF5D41"/>
    <w:rsid w:val="00BF6185"/>
    <w:rsid w:val="00BF67C1"/>
    <w:rsid w:val="00BF6D73"/>
    <w:rsid w:val="00BF774F"/>
    <w:rsid w:val="00C000E2"/>
    <w:rsid w:val="00C0083B"/>
    <w:rsid w:val="00C00B3E"/>
    <w:rsid w:val="00C022DA"/>
    <w:rsid w:val="00C02778"/>
    <w:rsid w:val="00C02A01"/>
    <w:rsid w:val="00C030C9"/>
    <w:rsid w:val="00C03391"/>
    <w:rsid w:val="00C041CB"/>
    <w:rsid w:val="00C04C6C"/>
    <w:rsid w:val="00C04C6F"/>
    <w:rsid w:val="00C0581D"/>
    <w:rsid w:val="00C06A20"/>
    <w:rsid w:val="00C1078A"/>
    <w:rsid w:val="00C10C41"/>
    <w:rsid w:val="00C11AF9"/>
    <w:rsid w:val="00C12CEF"/>
    <w:rsid w:val="00C145ED"/>
    <w:rsid w:val="00C14AF0"/>
    <w:rsid w:val="00C1502E"/>
    <w:rsid w:val="00C150CC"/>
    <w:rsid w:val="00C15577"/>
    <w:rsid w:val="00C162A0"/>
    <w:rsid w:val="00C170D7"/>
    <w:rsid w:val="00C1797F"/>
    <w:rsid w:val="00C17B77"/>
    <w:rsid w:val="00C201BA"/>
    <w:rsid w:val="00C218D9"/>
    <w:rsid w:val="00C23FB2"/>
    <w:rsid w:val="00C25B18"/>
    <w:rsid w:val="00C2616B"/>
    <w:rsid w:val="00C303AC"/>
    <w:rsid w:val="00C30BEA"/>
    <w:rsid w:val="00C312F3"/>
    <w:rsid w:val="00C31F61"/>
    <w:rsid w:val="00C3234D"/>
    <w:rsid w:val="00C33192"/>
    <w:rsid w:val="00C3385C"/>
    <w:rsid w:val="00C34158"/>
    <w:rsid w:val="00C3416A"/>
    <w:rsid w:val="00C3455A"/>
    <w:rsid w:val="00C346F2"/>
    <w:rsid w:val="00C36D2C"/>
    <w:rsid w:val="00C37CF1"/>
    <w:rsid w:val="00C40B67"/>
    <w:rsid w:val="00C41FBA"/>
    <w:rsid w:val="00C42A3F"/>
    <w:rsid w:val="00C43118"/>
    <w:rsid w:val="00C4398C"/>
    <w:rsid w:val="00C4462B"/>
    <w:rsid w:val="00C44C86"/>
    <w:rsid w:val="00C4540B"/>
    <w:rsid w:val="00C47E04"/>
    <w:rsid w:val="00C506E0"/>
    <w:rsid w:val="00C516EB"/>
    <w:rsid w:val="00C5175C"/>
    <w:rsid w:val="00C5299D"/>
    <w:rsid w:val="00C52F5C"/>
    <w:rsid w:val="00C53BF9"/>
    <w:rsid w:val="00C56736"/>
    <w:rsid w:val="00C57086"/>
    <w:rsid w:val="00C57DE6"/>
    <w:rsid w:val="00C60CE5"/>
    <w:rsid w:val="00C615D4"/>
    <w:rsid w:val="00C61F04"/>
    <w:rsid w:val="00C630EB"/>
    <w:rsid w:val="00C63945"/>
    <w:rsid w:val="00C66B48"/>
    <w:rsid w:val="00C66EA8"/>
    <w:rsid w:val="00C671AD"/>
    <w:rsid w:val="00C6799E"/>
    <w:rsid w:val="00C67F06"/>
    <w:rsid w:val="00C67FE5"/>
    <w:rsid w:val="00C72755"/>
    <w:rsid w:val="00C73F2B"/>
    <w:rsid w:val="00C740D9"/>
    <w:rsid w:val="00C741CA"/>
    <w:rsid w:val="00C7468C"/>
    <w:rsid w:val="00C74E38"/>
    <w:rsid w:val="00C75577"/>
    <w:rsid w:val="00C75847"/>
    <w:rsid w:val="00C76126"/>
    <w:rsid w:val="00C76319"/>
    <w:rsid w:val="00C7772E"/>
    <w:rsid w:val="00C802DE"/>
    <w:rsid w:val="00C80307"/>
    <w:rsid w:val="00C809F1"/>
    <w:rsid w:val="00C80AA8"/>
    <w:rsid w:val="00C841F1"/>
    <w:rsid w:val="00C84C90"/>
    <w:rsid w:val="00C856AD"/>
    <w:rsid w:val="00C85AF6"/>
    <w:rsid w:val="00C865C9"/>
    <w:rsid w:val="00C903C5"/>
    <w:rsid w:val="00C928C0"/>
    <w:rsid w:val="00C93AE7"/>
    <w:rsid w:val="00C946B9"/>
    <w:rsid w:val="00C94B67"/>
    <w:rsid w:val="00C95CAE"/>
    <w:rsid w:val="00C97217"/>
    <w:rsid w:val="00CA18B9"/>
    <w:rsid w:val="00CA31F3"/>
    <w:rsid w:val="00CA392E"/>
    <w:rsid w:val="00CA396B"/>
    <w:rsid w:val="00CA3990"/>
    <w:rsid w:val="00CA4506"/>
    <w:rsid w:val="00CA52BB"/>
    <w:rsid w:val="00CA536E"/>
    <w:rsid w:val="00CA548A"/>
    <w:rsid w:val="00CA570B"/>
    <w:rsid w:val="00CA5D4A"/>
    <w:rsid w:val="00CA6279"/>
    <w:rsid w:val="00CA7F2A"/>
    <w:rsid w:val="00CB01C8"/>
    <w:rsid w:val="00CB0310"/>
    <w:rsid w:val="00CB066E"/>
    <w:rsid w:val="00CB0761"/>
    <w:rsid w:val="00CB09C4"/>
    <w:rsid w:val="00CB28B9"/>
    <w:rsid w:val="00CB37DF"/>
    <w:rsid w:val="00CB49B6"/>
    <w:rsid w:val="00CB4C2C"/>
    <w:rsid w:val="00CB5005"/>
    <w:rsid w:val="00CB5667"/>
    <w:rsid w:val="00CB603F"/>
    <w:rsid w:val="00CB73CA"/>
    <w:rsid w:val="00CC048F"/>
    <w:rsid w:val="00CC0628"/>
    <w:rsid w:val="00CC0D3B"/>
    <w:rsid w:val="00CC3049"/>
    <w:rsid w:val="00CC4889"/>
    <w:rsid w:val="00CC617B"/>
    <w:rsid w:val="00CD236A"/>
    <w:rsid w:val="00CD283D"/>
    <w:rsid w:val="00CD2ED0"/>
    <w:rsid w:val="00CD3AFA"/>
    <w:rsid w:val="00CD4088"/>
    <w:rsid w:val="00CD4307"/>
    <w:rsid w:val="00CD469E"/>
    <w:rsid w:val="00CD5530"/>
    <w:rsid w:val="00CD6064"/>
    <w:rsid w:val="00CD6879"/>
    <w:rsid w:val="00CD75CF"/>
    <w:rsid w:val="00CD7A1B"/>
    <w:rsid w:val="00CD7BF5"/>
    <w:rsid w:val="00CD7C76"/>
    <w:rsid w:val="00CE238C"/>
    <w:rsid w:val="00CE2D85"/>
    <w:rsid w:val="00CE2DC9"/>
    <w:rsid w:val="00CE3454"/>
    <w:rsid w:val="00CE3707"/>
    <w:rsid w:val="00CE4038"/>
    <w:rsid w:val="00CE40EE"/>
    <w:rsid w:val="00CE5AEA"/>
    <w:rsid w:val="00CE5E93"/>
    <w:rsid w:val="00CE6534"/>
    <w:rsid w:val="00CF12D6"/>
    <w:rsid w:val="00CF2DF0"/>
    <w:rsid w:val="00CF42C7"/>
    <w:rsid w:val="00CF4D85"/>
    <w:rsid w:val="00CF5F8A"/>
    <w:rsid w:val="00CF6D59"/>
    <w:rsid w:val="00D00201"/>
    <w:rsid w:val="00D00220"/>
    <w:rsid w:val="00D003FA"/>
    <w:rsid w:val="00D005AE"/>
    <w:rsid w:val="00D00A58"/>
    <w:rsid w:val="00D011FF"/>
    <w:rsid w:val="00D02553"/>
    <w:rsid w:val="00D0265D"/>
    <w:rsid w:val="00D02B91"/>
    <w:rsid w:val="00D03B40"/>
    <w:rsid w:val="00D0409A"/>
    <w:rsid w:val="00D04400"/>
    <w:rsid w:val="00D0555B"/>
    <w:rsid w:val="00D05797"/>
    <w:rsid w:val="00D05F41"/>
    <w:rsid w:val="00D06AA9"/>
    <w:rsid w:val="00D07E03"/>
    <w:rsid w:val="00D07E0B"/>
    <w:rsid w:val="00D1072E"/>
    <w:rsid w:val="00D12B86"/>
    <w:rsid w:val="00D1388C"/>
    <w:rsid w:val="00D13C9C"/>
    <w:rsid w:val="00D15048"/>
    <w:rsid w:val="00D168BF"/>
    <w:rsid w:val="00D16D4D"/>
    <w:rsid w:val="00D16F3A"/>
    <w:rsid w:val="00D17113"/>
    <w:rsid w:val="00D1736B"/>
    <w:rsid w:val="00D21647"/>
    <w:rsid w:val="00D21A8C"/>
    <w:rsid w:val="00D23F15"/>
    <w:rsid w:val="00D23FCA"/>
    <w:rsid w:val="00D2560C"/>
    <w:rsid w:val="00D260E5"/>
    <w:rsid w:val="00D2611D"/>
    <w:rsid w:val="00D300AD"/>
    <w:rsid w:val="00D32319"/>
    <w:rsid w:val="00D32498"/>
    <w:rsid w:val="00D33C19"/>
    <w:rsid w:val="00D34782"/>
    <w:rsid w:val="00D3533B"/>
    <w:rsid w:val="00D35ACB"/>
    <w:rsid w:val="00D36BAB"/>
    <w:rsid w:val="00D36F88"/>
    <w:rsid w:val="00D378B0"/>
    <w:rsid w:val="00D37C1B"/>
    <w:rsid w:val="00D37D12"/>
    <w:rsid w:val="00D37D77"/>
    <w:rsid w:val="00D37F71"/>
    <w:rsid w:val="00D4033C"/>
    <w:rsid w:val="00D41244"/>
    <w:rsid w:val="00D440CF"/>
    <w:rsid w:val="00D45207"/>
    <w:rsid w:val="00D45CCC"/>
    <w:rsid w:val="00D46DB9"/>
    <w:rsid w:val="00D473C9"/>
    <w:rsid w:val="00D4796E"/>
    <w:rsid w:val="00D47CCD"/>
    <w:rsid w:val="00D51B93"/>
    <w:rsid w:val="00D51C16"/>
    <w:rsid w:val="00D51CF9"/>
    <w:rsid w:val="00D539CD"/>
    <w:rsid w:val="00D54696"/>
    <w:rsid w:val="00D55895"/>
    <w:rsid w:val="00D57E4F"/>
    <w:rsid w:val="00D62135"/>
    <w:rsid w:val="00D62DE7"/>
    <w:rsid w:val="00D635CA"/>
    <w:rsid w:val="00D638E3"/>
    <w:rsid w:val="00D63A43"/>
    <w:rsid w:val="00D670C4"/>
    <w:rsid w:val="00D67611"/>
    <w:rsid w:val="00D67DFF"/>
    <w:rsid w:val="00D67F2F"/>
    <w:rsid w:val="00D70360"/>
    <w:rsid w:val="00D7160A"/>
    <w:rsid w:val="00D73908"/>
    <w:rsid w:val="00D73BFD"/>
    <w:rsid w:val="00D74423"/>
    <w:rsid w:val="00D7581A"/>
    <w:rsid w:val="00D75B71"/>
    <w:rsid w:val="00D76533"/>
    <w:rsid w:val="00D76DE8"/>
    <w:rsid w:val="00D8001E"/>
    <w:rsid w:val="00D80257"/>
    <w:rsid w:val="00D8057E"/>
    <w:rsid w:val="00D813E2"/>
    <w:rsid w:val="00D8349A"/>
    <w:rsid w:val="00D837B6"/>
    <w:rsid w:val="00D846B8"/>
    <w:rsid w:val="00D86C4A"/>
    <w:rsid w:val="00D872B0"/>
    <w:rsid w:val="00D87C21"/>
    <w:rsid w:val="00D909FA"/>
    <w:rsid w:val="00D92B17"/>
    <w:rsid w:val="00D93349"/>
    <w:rsid w:val="00D941BA"/>
    <w:rsid w:val="00D9459C"/>
    <w:rsid w:val="00D94607"/>
    <w:rsid w:val="00D960D2"/>
    <w:rsid w:val="00D9611C"/>
    <w:rsid w:val="00D963B9"/>
    <w:rsid w:val="00DA0260"/>
    <w:rsid w:val="00DA0A67"/>
    <w:rsid w:val="00DA0E15"/>
    <w:rsid w:val="00DA0E8D"/>
    <w:rsid w:val="00DA193B"/>
    <w:rsid w:val="00DA4ED2"/>
    <w:rsid w:val="00DA5DDD"/>
    <w:rsid w:val="00DA5DFD"/>
    <w:rsid w:val="00DA6C74"/>
    <w:rsid w:val="00DA6F1A"/>
    <w:rsid w:val="00DA71FB"/>
    <w:rsid w:val="00DA7EA4"/>
    <w:rsid w:val="00DB0889"/>
    <w:rsid w:val="00DB0F46"/>
    <w:rsid w:val="00DB18BA"/>
    <w:rsid w:val="00DB214D"/>
    <w:rsid w:val="00DB23EA"/>
    <w:rsid w:val="00DB2918"/>
    <w:rsid w:val="00DB3217"/>
    <w:rsid w:val="00DB46D3"/>
    <w:rsid w:val="00DB5374"/>
    <w:rsid w:val="00DB54B7"/>
    <w:rsid w:val="00DB5A2A"/>
    <w:rsid w:val="00DB5DD9"/>
    <w:rsid w:val="00DB6622"/>
    <w:rsid w:val="00DB688C"/>
    <w:rsid w:val="00DB7EA1"/>
    <w:rsid w:val="00DC1100"/>
    <w:rsid w:val="00DC12B0"/>
    <w:rsid w:val="00DC2003"/>
    <w:rsid w:val="00DC2514"/>
    <w:rsid w:val="00DC2DBF"/>
    <w:rsid w:val="00DC2E6F"/>
    <w:rsid w:val="00DC33A4"/>
    <w:rsid w:val="00DC3581"/>
    <w:rsid w:val="00DD008B"/>
    <w:rsid w:val="00DD10FC"/>
    <w:rsid w:val="00DD2A25"/>
    <w:rsid w:val="00DD345C"/>
    <w:rsid w:val="00DD3517"/>
    <w:rsid w:val="00DD3A5A"/>
    <w:rsid w:val="00DD6F3F"/>
    <w:rsid w:val="00DD72B3"/>
    <w:rsid w:val="00DD7698"/>
    <w:rsid w:val="00DE2CA9"/>
    <w:rsid w:val="00DE3EF8"/>
    <w:rsid w:val="00DE6291"/>
    <w:rsid w:val="00DE6663"/>
    <w:rsid w:val="00DE67C4"/>
    <w:rsid w:val="00DE6A93"/>
    <w:rsid w:val="00DE70B1"/>
    <w:rsid w:val="00DE7A64"/>
    <w:rsid w:val="00DE7EEB"/>
    <w:rsid w:val="00DF0C80"/>
    <w:rsid w:val="00DF1540"/>
    <w:rsid w:val="00DF1789"/>
    <w:rsid w:val="00DF3D6D"/>
    <w:rsid w:val="00DF53B3"/>
    <w:rsid w:val="00DF6C50"/>
    <w:rsid w:val="00DF6FB4"/>
    <w:rsid w:val="00DF7164"/>
    <w:rsid w:val="00E00501"/>
    <w:rsid w:val="00E008FB"/>
    <w:rsid w:val="00E0199A"/>
    <w:rsid w:val="00E01A26"/>
    <w:rsid w:val="00E031C6"/>
    <w:rsid w:val="00E0329D"/>
    <w:rsid w:val="00E035C8"/>
    <w:rsid w:val="00E03720"/>
    <w:rsid w:val="00E03A82"/>
    <w:rsid w:val="00E04660"/>
    <w:rsid w:val="00E06163"/>
    <w:rsid w:val="00E067BE"/>
    <w:rsid w:val="00E07F70"/>
    <w:rsid w:val="00E07FF4"/>
    <w:rsid w:val="00E1010D"/>
    <w:rsid w:val="00E1089E"/>
    <w:rsid w:val="00E10B69"/>
    <w:rsid w:val="00E10B9F"/>
    <w:rsid w:val="00E11E05"/>
    <w:rsid w:val="00E12806"/>
    <w:rsid w:val="00E13A02"/>
    <w:rsid w:val="00E13CE1"/>
    <w:rsid w:val="00E14B69"/>
    <w:rsid w:val="00E14D0E"/>
    <w:rsid w:val="00E17F6C"/>
    <w:rsid w:val="00E27BC8"/>
    <w:rsid w:val="00E27FDA"/>
    <w:rsid w:val="00E3049E"/>
    <w:rsid w:val="00E31079"/>
    <w:rsid w:val="00E31642"/>
    <w:rsid w:val="00E31C30"/>
    <w:rsid w:val="00E32625"/>
    <w:rsid w:val="00E328C9"/>
    <w:rsid w:val="00E3394A"/>
    <w:rsid w:val="00E34035"/>
    <w:rsid w:val="00E35A3B"/>
    <w:rsid w:val="00E36724"/>
    <w:rsid w:val="00E36726"/>
    <w:rsid w:val="00E3683F"/>
    <w:rsid w:val="00E378C2"/>
    <w:rsid w:val="00E40A06"/>
    <w:rsid w:val="00E42043"/>
    <w:rsid w:val="00E43E64"/>
    <w:rsid w:val="00E44F32"/>
    <w:rsid w:val="00E4513E"/>
    <w:rsid w:val="00E4575E"/>
    <w:rsid w:val="00E4575F"/>
    <w:rsid w:val="00E45AF8"/>
    <w:rsid w:val="00E45CF7"/>
    <w:rsid w:val="00E46E6B"/>
    <w:rsid w:val="00E501E2"/>
    <w:rsid w:val="00E502AA"/>
    <w:rsid w:val="00E5115F"/>
    <w:rsid w:val="00E51AA0"/>
    <w:rsid w:val="00E51D97"/>
    <w:rsid w:val="00E528AB"/>
    <w:rsid w:val="00E553DC"/>
    <w:rsid w:val="00E55C42"/>
    <w:rsid w:val="00E55ECC"/>
    <w:rsid w:val="00E573F7"/>
    <w:rsid w:val="00E57432"/>
    <w:rsid w:val="00E604A9"/>
    <w:rsid w:val="00E619F2"/>
    <w:rsid w:val="00E62319"/>
    <w:rsid w:val="00E645C3"/>
    <w:rsid w:val="00E66251"/>
    <w:rsid w:val="00E70060"/>
    <w:rsid w:val="00E70C94"/>
    <w:rsid w:val="00E71E28"/>
    <w:rsid w:val="00E721B5"/>
    <w:rsid w:val="00E73242"/>
    <w:rsid w:val="00E75C93"/>
    <w:rsid w:val="00E75D6E"/>
    <w:rsid w:val="00E7647D"/>
    <w:rsid w:val="00E76BBC"/>
    <w:rsid w:val="00E76BD7"/>
    <w:rsid w:val="00E77CFB"/>
    <w:rsid w:val="00E8057D"/>
    <w:rsid w:val="00E80EFA"/>
    <w:rsid w:val="00E8165D"/>
    <w:rsid w:val="00E8176E"/>
    <w:rsid w:val="00E8231B"/>
    <w:rsid w:val="00E827CA"/>
    <w:rsid w:val="00E827D8"/>
    <w:rsid w:val="00E831E7"/>
    <w:rsid w:val="00E83470"/>
    <w:rsid w:val="00E8377D"/>
    <w:rsid w:val="00E83AA3"/>
    <w:rsid w:val="00E83CF6"/>
    <w:rsid w:val="00E83CF7"/>
    <w:rsid w:val="00E8583A"/>
    <w:rsid w:val="00E87163"/>
    <w:rsid w:val="00E90386"/>
    <w:rsid w:val="00E904EC"/>
    <w:rsid w:val="00E92B85"/>
    <w:rsid w:val="00E93853"/>
    <w:rsid w:val="00E938CA"/>
    <w:rsid w:val="00E96235"/>
    <w:rsid w:val="00E9663F"/>
    <w:rsid w:val="00E97E43"/>
    <w:rsid w:val="00EA006B"/>
    <w:rsid w:val="00EA334A"/>
    <w:rsid w:val="00EA3E3A"/>
    <w:rsid w:val="00EA531C"/>
    <w:rsid w:val="00EA6D4B"/>
    <w:rsid w:val="00EA6DBF"/>
    <w:rsid w:val="00EB0C1F"/>
    <w:rsid w:val="00EB1A40"/>
    <w:rsid w:val="00EB1F07"/>
    <w:rsid w:val="00EB2A35"/>
    <w:rsid w:val="00EB46F4"/>
    <w:rsid w:val="00EB4CD0"/>
    <w:rsid w:val="00EB4D23"/>
    <w:rsid w:val="00EB581A"/>
    <w:rsid w:val="00EB5A2B"/>
    <w:rsid w:val="00EB6A13"/>
    <w:rsid w:val="00EB7722"/>
    <w:rsid w:val="00EB7E6B"/>
    <w:rsid w:val="00EC43E3"/>
    <w:rsid w:val="00EC5333"/>
    <w:rsid w:val="00EC584B"/>
    <w:rsid w:val="00EC5CC2"/>
    <w:rsid w:val="00EC5D3E"/>
    <w:rsid w:val="00ED032B"/>
    <w:rsid w:val="00ED0CAB"/>
    <w:rsid w:val="00ED140C"/>
    <w:rsid w:val="00ED1C97"/>
    <w:rsid w:val="00ED1D4E"/>
    <w:rsid w:val="00ED227C"/>
    <w:rsid w:val="00ED232A"/>
    <w:rsid w:val="00ED307D"/>
    <w:rsid w:val="00ED3BCC"/>
    <w:rsid w:val="00ED447E"/>
    <w:rsid w:val="00ED4B0D"/>
    <w:rsid w:val="00ED67CF"/>
    <w:rsid w:val="00ED6CC1"/>
    <w:rsid w:val="00EE0692"/>
    <w:rsid w:val="00EE1014"/>
    <w:rsid w:val="00EE104B"/>
    <w:rsid w:val="00EE1192"/>
    <w:rsid w:val="00EE1F58"/>
    <w:rsid w:val="00EE3E4F"/>
    <w:rsid w:val="00EE402E"/>
    <w:rsid w:val="00EE49DD"/>
    <w:rsid w:val="00EE5D03"/>
    <w:rsid w:val="00EF0C51"/>
    <w:rsid w:val="00EF0DB4"/>
    <w:rsid w:val="00EF4A32"/>
    <w:rsid w:val="00EF610C"/>
    <w:rsid w:val="00EF6480"/>
    <w:rsid w:val="00EF70C1"/>
    <w:rsid w:val="00EF7592"/>
    <w:rsid w:val="00EF77D0"/>
    <w:rsid w:val="00F0058F"/>
    <w:rsid w:val="00F00F1A"/>
    <w:rsid w:val="00F01FF7"/>
    <w:rsid w:val="00F037C5"/>
    <w:rsid w:val="00F03A3A"/>
    <w:rsid w:val="00F05844"/>
    <w:rsid w:val="00F07C9E"/>
    <w:rsid w:val="00F11A32"/>
    <w:rsid w:val="00F130CA"/>
    <w:rsid w:val="00F130E7"/>
    <w:rsid w:val="00F1355A"/>
    <w:rsid w:val="00F13AF0"/>
    <w:rsid w:val="00F158C3"/>
    <w:rsid w:val="00F15982"/>
    <w:rsid w:val="00F17852"/>
    <w:rsid w:val="00F212C0"/>
    <w:rsid w:val="00F215D9"/>
    <w:rsid w:val="00F217A6"/>
    <w:rsid w:val="00F22469"/>
    <w:rsid w:val="00F22779"/>
    <w:rsid w:val="00F23400"/>
    <w:rsid w:val="00F24C45"/>
    <w:rsid w:val="00F26945"/>
    <w:rsid w:val="00F26C80"/>
    <w:rsid w:val="00F27889"/>
    <w:rsid w:val="00F310FD"/>
    <w:rsid w:val="00F3175B"/>
    <w:rsid w:val="00F317D8"/>
    <w:rsid w:val="00F3226F"/>
    <w:rsid w:val="00F32966"/>
    <w:rsid w:val="00F34CA4"/>
    <w:rsid w:val="00F353C2"/>
    <w:rsid w:val="00F3759B"/>
    <w:rsid w:val="00F40E1E"/>
    <w:rsid w:val="00F41211"/>
    <w:rsid w:val="00F418EF"/>
    <w:rsid w:val="00F44044"/>
    <w:rsid w:val="00F4492B"/>
    <w:rsid w:val="00F46837"/>
    <w:rsid w:val="00F471C5"/>
    <w:rsid w:val="00F472AF"/>
    <w:rsid w:val="00F473E4"/>
    <w:rsid w:val="00F5015C"/>
    <w:rsid w:val="00F50D38"/>
    <w:rsid w:val="00F5255F"/>
    <w:rsid w:val="00F52E74"/>
    <w:rsid w:val="00F54925"/>
    <w:rsid w:val="00F55F3E"/>
    <w:rsid w:val="00F568B0"/>
    <w:rsid w:val="00F57351"/>
    <w:rsid w:val="00F57E63"/>
    <w:rsid w:val="00F57E7D"/>
    <w:rsid w:val="00F6216B"/>
    <w:rsid w:val="00F63502"/>
    <w:rsid w:val="00F636D2"/>
    <w:rsid w:val="00F63738"/>
    <w:rsid w:val="00F642CD"/>
    <w:rsid w:val="00F6633E"/>
    <w:rsid w:val="00F6635C"/>
    <w:rsid w:val="00F6644B"/>
    <w:rsid w:val="00F66D2D"/>
    <w:rsid w:val="00F6715F"/>
    <w:rsid w:val="00F672BB"/>
    <w:rsid w:val="00F67D9B"/>
    <w:rsid w:val="00F70159"/>
    <w:rsid w:val="00F70E89"/>
    <w:rsid w:val="00F71040"/>
    <w:rsid w:val="00F71095"/>
    <w:rsid w:val="00F715DE"/>
    <w:rsid w:val="00F71F7D"/>
    <w:rsid w:val="00F73958"/>
    <w:rsid w:val="00F73A06"/>
    <w:rsid w:val="00F75465"/>
    <w:rsid w:val="00F76988"/>
    <w:rsid w:val="00F77083"/>
    <w:rsid w:val="00F7786A"/>
    <w:rsid w:val="00F7788B"/>
    <w:rsid w:val="00F80E90"/>
    <w:rsid w:val="00F825BE"/>
    <w:rsid w:val="00F830F1"/>
    <w:rsid w:val="00F831EE"/>
    <w:rsid w:val="00F8475C"/>
    <w:rsid w:val="00F8520B"/>
    <w:rsid w:val="00F8584A"/>
    <w:rsid w:val="00F867C9"/>
    <w:rsid w:val="00F87BDA"/>
    <w:rsid w:val="00F909BF"/>
    <w:rsid w:val="00F922CB"/>
    <w:rsid w:val="00F93587"/>
    <w:rsid w:val="00F94FD7"/>
    <w:rsid w:val="00F95E92"/>
    <w:rsid w:val="00F96BF2"/>
    <w:rsid w:val="00FA0089"/>
    <w:rsid w:val="00FA0209"/>
    <w:rsid w:val="00FA02C6"/>
    <w:rsid w:val="00FA1AC7"/>
    <w:rsid w:val="00FA29C8"/>
    <w:rsid w:val="00FA3CDD"/>
    <w:rsid w:val="00FA5756"/>
    <w:rsid w:val="00FA5E2E"/>
    <w:rsid w:val="00FA755D"/>
    <w:rsid w:val="00FB2E02"/>
    <w:rsid w:val="00FB3CA8"/>
    <w:rsid w:val="00FB3ED7"/>
    <w:rsid w:val="00FB49B5"/>
    <w:rsid w:val="00FB5AAA"/>
    <w:rsid w:val="00FB6835"/>
    <w:rsid w:val="00FB6D61"/>
    <w:rsid w:val="00FB7185"/>
    <w:rsid w:val="00FB7282"/>
    <w:rsid w:val="00FB72E1"/>
    <w:rsid w:val="00FC030F"/>
    <w:rsid w:val="00FC0753"/>
    <w:rsid w:val="00FC078D"/>
    <w:rsid w:val="00FC17C7"/>
    <w:rsid w:val="00FC32DF"/>
    <w:rsid w:val="00FC3361"/>
    <w:rsid w:val="00FC3419"/>
    <w:rsid w:val="00FC4650"/>
    <w:rsid w:val="00FC55A7"/>
    <w:rsid w:val="00FC5BDF"/>
    <w:rsid w:val="00FC7841"/>
    <w:rsid w:val="00FD0D00"/>
    <w:rsid w:val="00FD15EA"/>
    <w:rsid w:val="00FD2254"/>
    <w:rsid w:val="00FD26F8"/>
    <w:rsid w:val="00FD4E19"/>
    <w:rsid w:val="00FD4E33"/>
    <w:rsid w:val="00FD6082"/>
    <w:rsid w:val="00FD643D"/>
    <w:rsid w:val="00FD6664"/>
    <w:rsid w:val="00FD670D"/>
    <w:rsid w:val="00FD7755"/>
    <w:rsid w:val="00FE0B12"/>
    <w:rsid w:val="00FE1493"/>
    <w:rsid w:val="00FE1943"/>
    <w:rsid w:val="00FE2485"/>
    <w:rsid w:val="00FE3055"/>
    <w:rsid w:val="00FE4648"/>
    <w:rsid w:val="00FE4AFD"/>
    <w:rsid w:val="00FE540C"/>
    <w:rsid w:val="00FE5D24"/>
    <w:rsid w:val="00FF3918"/>
    <w:rsid w:val="00FF451C"/>
    <w:rsid w:val="00FF4D88"/>
    <w:rsid w:val="00FF6392"/>
    <w:rsid w:val="00FF6BB8"/>
    <w:rsid w:val="02EB06C3"/>
    <w:rsid w:val="0402411E"/>
    <w:rsid w:val="0670BE8F"/>
    <w:rsid w:val="067EEE31"/>
    <w:rsid w:val="09795525"/>
    <w:rsid w:val="11830811"/>
    <w:rsid w:val="15011327"/>
    <w:rsid w:val="174564AA"/>
    <w:rsid w:val="2965AF71"/>
    <w:rsid w:val="2B5F3C6F"/>
    <w:rsid w:val="2B7BAACA"/>
    <w:rsid w:val="2E1086BB"/>
    <w:rsid w:val="30E2A886"/>
    <w:rsid w:val="311DB9B1"/>
    <w:rsid w:val="3A67151E"/>
    <w:rsid w:val="4B24E1AF"/>
    <w:rsid w:val="4F927431"/>
    <w:rsid w:val="582DD283"/>
    <w:rsid w:val="5A0567E7"/>
    <w:rsid w:val="63C792AD"/>
    <w:rsid w:val="66F4D1F5"/>
    <w:rsid w:val="6BD91DE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C30FC"/>
  <w15:docId w15:val="{D88D146B-938D-4BA5-8E1F-E9E86F5B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D88"/>
    <w:rPr>
      <w:sz w:val="24"/>
      <w:szCs w:val="24"/>
      <w:lang w:eastAsia="en-GB"/>
    </w:rPr>
  </w:style>
  <w:style w:type="paragraph" w:styleId="Heading1">
    <w:name w:val="heading 1"/>
    <w:basedOn w:val="Normal"/>
    <w:link w:val="Heading1Char"/>
    <w:uiPriority w:val="9"/>
    <w:qFormat/>
    <w:rsid w:val="000F7B79"/>
    <w:pPr>
      <w:spacing w:before="100" w:beforeAutospacing="1" w:after="100" w:afterAutospacing="1"/>
      <w:outlineLvl w:val="0"/>
    </w:pPr>
    <w:rPr>
      <w:b/>
      <w:bCs/>
      <w:kern w:val="36"/>
      <w:sz w:val="48"/>
      <w:szCs w:val="48"/>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740D9"/>
    <w:pPr>
      <w:tabs>
        <w:tab w:val="center" w:pos="4252"/>
        <w:tab w:val="right" w:pos="8504"/>
      </w:tabs>
    </w:pPr>
  </w:style>
  <w:style w:type="character" w:styleId="PageNumber">
    <w:name w:val="page number"/>
    <w:basedOn w:val="DefaultParagraphFont"/>
    <w:rsid w:val="00C740D9"/>
  </w:style>
  <w:style w:type="paragraph" w:styleId="BalloonText">
    <w:name w:val="Balloon Text"/>
    <w:basedOn w:val="Normal"/>
    <w:link w:val="BalloonTextChar"/>
    <w:rsid w:val="00DC2DBF"/>
    <w:rPr>
      <w:rFonts w:ascii="Tahoma" w:hAnsi="Tahoma"/>
      <w:sz w:val="16"/>
      <w:szCs w:val="16"/>
    </w:rPr>
  </w:style>
  <w:style w:type="character" w:customStyle="1" w:styleId="BalloonTextChar">
    <w:name w:val="Balloon Text Char"/>
    <w:link w:val="BalloonText"/>
    <w:rsid w:val="00DC2DBF"/>
    <w:rPr>
      <w:rFonts w:ascii="Tahoma" w:hAnsi="Tahoma" w:cs="Tahoma"/>
      <w:sz w:val="16"/>
      <w:szCs w:val="16"/>
      <w:lang w:val="en-GB" w:eastAsia="en-GB"/>
    </w:rPr>
  </w:style>
  <w:style w:type="character" w:styleId="CommentReference">
    <w:name w:val="annotation reference"/>
    <w:semiHidden/>
    <w:rsid w:val="004E0CA1"/>
    <w:rPr>
      <w:sz w:val="16"/>
      <w:szCs w:val="16"/>
    </w:rPr>
  </w:style>
  <w:style w:type="paragraph" w:styleId="CommentText">
    <w:name w:val="annotation text"/>
    <w:basedOn w:val="Normal"/>
    <w:link w:val="CommentTextChar"/>
    <w:semiHidden/>
    <w:rsid w:val="004E0CA1"/>
    <w:rPr>
      <w:sz w:val="20"/>
      <w:szCs w:val="20"/>
    </w:rPr>
  </w:style>
  <w:style w:type="paragraph" w:styleId="CommentSubject">
    <w:name w:val="annotation subject"/>
    <w:basedOn w:val="CommentText"/>
    <w:next w:val="CommentText"/>
    <w:semiHidden/>
    <w:rsid w:val="004E0CA1"/>
    <w:rPr>
      <w:b/>
      <w:bCs/>
    </w:rPr>
  </w:style>
  <w:style w:type="character" w:customStyle="1" w:styleId="hps">
    <w:name w:val="hps"/>
    <w:basedOn w:val="DefaultParagraphFont"/>
    <w:rsid w:val="003B515C"/>
  </w:style>
  <w:style w:type="character" w:customStyle="1" w:styleId="shorttext">
    <w:name w:val="short_text"/>
    <w:basedOn w:val="DefaultParagraphFont"/>
    <w:rsid w:val="00281CC6"/>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L"/>
    <w:basedOn w:val="Normal"/>
    <w:link w:val="ListParagraphChar"/>
    <w:uiPriority w:val="34"/>
    <w:qFormat/>
    <w:rsid w:val="0071303D"/>
    <w:pPr>
      <w:spacing w:after="200" w:line="276" w:lineRule="auto"/>
      <w:ind w:left="720"/>
      <w:contextualSpacing/>
    </w:pPr>
    <w:rPr>
      <w:rFonts w:ascii="Calibri" w:eastAsia="Calibri" w:hAnsi="Calibri"/>
      <w:sz w:val="22"/>
      <w:szCs w:val="22"/>
      <w:lang w:val="es-ES" w:eastAsia="en-US"/>
    </w:rPr>
  </w:style>
  <w:style w:type="paragraph" w:styleId="BodyText">
    <w:name w:val="Body Text"/>
    <w:basedOn w:val="Normal"/>
    <w:link w:val="BodyTextChar"/>
    <w:uiPriority w:val="99"/>
    <w:rsid w:val="00695D6F"/>
    <w:pPr>
      <w:suppressAutoHyphens/>
      <w:spacing w:after="120" w:line="276" w:lineRule="auto"/>
    </w:pPr>
    <w:rPr>
      <w:rFonts w:ascii="Calibri" w:hAnsi="Calibri" w:cs="Calibri"/>
      <w:sz w:val="22"/>
      <w:szCs w:val="22"/>
      <w:lang w:val="es-ES" w:eastAsia="ar-SA"/>
    </w:rPr>
  </w:style>
  <w:style w:type="character" w:customStyle="1" w:styleId="BodyTextChar">
    <w:name w:val="Body Text Char"/>
    <w:link w:val="BodyText"/>
    <w:uiPriority w:val="99"/>
    <w:rsid w:val="00695D6F"/>
    <w:rPr>
      <w:rFonts w:ascii="Calibri" w:hAnsi="Calibri" w:cs="Calibri"/>
      <w:sz w:val="22"/>
      <w:szCs w:val="22"/>
      <w:lang w:eastAsia="ar-SA"/>
    </w:rPr>
  </w:style>
  <w:style w:type="paragraph" w:styleId="Header">
    <w:name w:val="header"/>
    <w:basedOn w:val="Normal"/>
    <w:link w:val="HeaderChar"/>
    <w:unhideWhenUsed/>
    <w:rsid w:val="00861C8B"/>
    <w:pPr>
      <w:tabs>
        <w:tab w:val="center" w:pos="4252"/>
        <w:tab w:val="right" w:pos="8504"/>
      </w:tabs>
    </w:pPr>
  </w:style>
  <w:style w:type="character" w:customStyle="1" w:styleId="HeaderChar">
    <w:name w:val="Header Char"/>
    <w:basedOn w:val="DefaultParagraphFont"/>
    <w:link w:val="Header"/>
    <w:rsid w:val="00861C8B"/>
    <w:rPr>
      <w:sz w:val="24"/>
      <w:szCs w:val="24"/>
      <w:lang w:eastAsia="en-GB"/>
    </w:rPr>
  </w:style>
  <w:style w:type="paragraph" w:styleId="FootnoteText">
    <w:name w:val="footnote text"/>
    <w:basedOn w:val="Normal"/>
    <w:link w:val="FootnoteTextChar"/>
    <w:uiPriority w:val="99"/>
    <w:unhideWhenUsed/>
    <w:rsid w:val="00D670C4"/>
    <w:rPr>
      <w:sz w:val="20"/>
      <w:szCs w:val="20"/>
    </w:rPr>
  </w:style>
  <w:style w:type="character" w:customStyle="1" w:styleId="FootnoteTextChar">
    <w:name w:val="Footnote Text Char"/>
    <w:basedOn w:val="DefaultParagraphFont"/>
    <w:link w:val="FootnoteText"/>
    <w:uiPriority w:val="99"/>
    <w:rsid w:val="00D670C4"/>
    <w:rPr>
      <w:lang w:eastAsia="en-GB"/>
    </w:rPr>
  </w:style>
  <w:style w:type="character" w:styleId="FootnoteReference">
    <w:name w:val="footnote reference"/>
    <w:basedOn w:val="DefaultParagraphFont"/>
    <w:uiPriority w:val="99"/>
    <w:unhideWhenUsed/>
    <w:rsid w:val="00D670C4"/>
    <w:rPr>
      <w:vertAlign w:val="superscript"/>
    </w:rPr>
  </w:style>
  <w:style w:type="paragraph" w:customStyle="1" w:styleId="Default">
    <w:name w:val="Default"/>
    <w:rsid w:val="004C544E"/>
    <w:pPr>
      <w:autoSpaceDE w:val="0"/>
      <w:autoSpaceDN w:val="0"/>
      <w:adjustRightInd w:val="0"/>
    </w:pPr>
    <w:rPr>
      <w:rFonts w:ascii="EUAlbertina" w:hAnsi="EUAlbertina" w:cs="EUAlbertina"/>
      <w:color w:val="000000"/>
      <w:sz w:val="24"/>
      <w:szCs w:val="24"/>
      <w:lang w:val="es-ES" w:eastAsia="es-ES"/>
    </w:rPr>
  </w:style>
  <w:style w:type="paragraph" w:customStyle="1" w:styleId="CM1">
    <w:name w:val="CM1"/>
    <w:basedOn w:val="Default"/>
    <w:next w:val="Default"/>
    <w:uiPriority w:val="99"/>
    <w:rsid w:val="006F360A"/>
    <w:rPr>
      <w:rFonts w:cs="Times New Roman"/>
      <w:color w:val="auto"/>
      <w:lang w:eastAsia="en-US"/>
    </w:rPr>
  </w:style>
  <w:style w:type="paragraph" w:customStyle="1" w:styleId="CM3">
    <w:name w:val="CM3"/>
    <w:basedOn w:val="Default"/>
    <w:next w:val="Default"/>
    <w:uiPriority w:val="99"/>
    <w:rsid w:val="006F360A"/>
    <w:rPr>
      <w:rFonts w:cs="Times New Roman"/>
      <w:color w:val="auto"/>
      <w:lang w:eastAsia="en-US"/>
    </w:rPr>
  </w:style>
  <w:style w:type="paragraph" w:customStyle="1" w:styleId="CM4">
    <w:name w:val="CM4"/>
    <w:basedOn w:val="Default"/>
    <w:next w:val="Default"/>
    <w:uiPriority w:val="99"/>
    <w:rsid w:val="006F360A"/>
    <w:rPr>
      <w:rFonts w:cs="Times New Roman"/>
      <w:color w:val="auto"/>
      <w:lang w:eastAsia="en-US"/>
    </w:rPr>
  </w:style>
  <w:style w:type="character" w:styleId="Strong">
    <w:name w:val="Strong"/>
    <w:basedOn w:val="DefaultParagraphFont"/>
    <w:uiPriority w:val="22"/>
    <w:qFormat/>
    <w:rsid w:val="00833BE5"/>
    <w:rPr>
      <w:b/>
      <w:bCs/>
    </w:rPr>
  </w:style>
  <w:style w:type="character" w:styleId="Hyperlink">
    <w:name w:val="Hyperlink"/>
    <w:basedOn w:val="DefaultParagraphFont"/>
    <w:rsid w:val="003E138A"/>
    <w:rPr>
      <w:color w:val="0000FF" w:themeColor="hyperlink"/>
      <w:u w:val="single"/>
    </w:rPr>
  </w:style>
  <w:style w:type="paragraph" w:styleId="Revision">
    <w:name w:val="Revision"/>
    <w:hidden/>
    <w:uiPriority w:val="71"/>
    <w:semiHidden/>
    <w:rsid w:val="00667B00"/>
    <w:rPr>
      <w:sz w:val="24"/>
      <w:szCs w:val="24"/>
      <w:lang w:eastAsia="en-GB"/>
    </w:rPr>
  </w:style>
  <w:style w:type="character" w:styleId="FollowedHyperlink">
    <w:name w:val="FollowedHyperlink"/>
    <w:basedOn w:val="DefaultParagraphFont"/>
    <w:rsid w:val="00B02601"/>
    <w:rPr>
      <w:color w:val="800080" w:themeColor="followedHyperlink"/>
      <w:u w:val="single"/>
    </w:rPr>
  </w:style>
  <w:style w:type="character" w:customStyle="1" w:styleId="Heading1Char">
    <w:name w:val="Heading 1 Char"/>
    <w:basedOn w:val="DefaultParagraphFont"/>
    <w:link w:val="Heading1"/>
    <w:uiPriority w:val="9"/>
    <w:rsid w:val="000F7B79"/>
    <w:rPr>
      <w:b/>
      <w:bCs/>
      <w:kern w:val="36"/>
      <w:sz w:val="48"/>
      <w:szCs w:val="48"/>
      <w:lang w:val="es-ES" w:eastAsia="es-ES"/>
    </w:rPr>
  </w:style>
  <w:style w:type="character" w:customStyle="1" w:styleId="il">
    <w:name w:val="il"/>
    <w:basedOn w:val="DefaultParagraphFont"/>
    <w:rsid w:val="005E410C"/>
  </w:style>
  <w:style w:type="character" w:customStyle="1" w:styleId="Mencinsinresolver1">
    <w:name w:val="Mención sin resolver1"/>
    <w:basedOn w:val="DefaultParagraphFont"/>
    <w:uiPriority w:val="99"/>
    <w:semiHidden/>
    <w:unhideWhenUsed/>
    <w:rsid w:val="00337EE7"/>
    <w:rPr>
      <w:color w:val="808080"/>
      <w:shd w:val="clear" w:color="auto" w:fill="E6E6E6"/>
    </w:rPr>
  </w:style>
  <w:style w:type="paragraph" w:styleId="NormalWeb">
    <w:name w:val="Normal (Web)"/>
    <w:basedOn w:val="Normal"/>
    <w:uiPriority w:val="99"/>
    <w:semiHidden/>
    <w:unhideWhenUsed/>
    <w:rsid w:val="00D94607"/>
    <w:pPr>
      <w:spacing w:before="100" w:beforeAutospacing="1" w:after="100" w:afterAutospacing="1"/>
    </w:pPr>
    <w:rPr>
      <w:rFonts w:eastAsiaTheme="minorHAnsi"/>
      <w:lang w:val="es-ES" w:eastAsia="es-ES"/>
    </w:rPr>
  </w:style>
  <w:style w:type="character" w:customStyle="1" w:styleId="CommentTextChar">
    <w:name w:val="Comment Text Char"/>
    <w:basedOn w:val="DefaultParagraphFont"/>
    <w:link w:val="CommentText"/>
    <w:semiHidden/>
    <w:rsid w:val="003A6CFC"/>
    <w:rPr>
      <w:lang w:eastAsia="en-GB"/>
    </w:rPr>
  </w:style>
  <w:style w:type="character" w:customStyle="1" w:styleId="UnresolvedMention1">
    <w:name w:val="Unresolved Mention1"/>
    <w:basedOn w:val="DefaultParagraphFont"/>
    <w:uiPriority w:val="99"/>
    <w:semiHidden/>
    <w:unhideWhenUsed/>
    <w:rsid w:val="001555CC"/>
    <w:rPr>
      <w:color w:val="605E5C"/>
      <w:shd w:val="clear" w:color="auto" w:fill="E1DFDD"/>
    </w:rPr>
  </w:style>
  <w:style w:type="paragraph" w:customStyle="1" w:styleId="m559060449167131154msolistparagraph">
    <w:name w:val="m_559060449167131154msolistparagraph"/>
    <w:basedOn w:val="Normal"/>
    <w:rsid w:val="00F473E4"/>
    <w:pPr>
      <w:spacing w:before="100" w:beforeAutospacing="1" w:after="100" w:afterAutospacing="1"/>
    </w:pPr>
    <w:rPr>
      <w:lang w:val="es-ES" w:eastAsia="es-ES"/>
    </w:rPr>
  </w:style>
  <w:style w:type="character" w:customStyle="1" w:styleId="Mencinsinresolver2">
    <w:name w:val="Mención sin resolver2"/>
    <w:basedOn w:val="DefaultParagraphFont"/>
    <w:uiPriority w:val="99"/>
    <w:semiHidden/>
    <w:unhideWhenUsed/>
    <w:rsid w:val="004D5409"/>
    <w:rPr>
      <w:color w:val="605E5C"/>
      <w:shd w:val="clear" w:color="auto" w:fill="E1DFDD"/>
    </w:rPr>
  </w:style>
  <w:style w:type="table" w:styleId="TableGrid">
    <w:name w:val="Table Grid"/>
    <w:basedOn w:val="TableNormal"/>
    <w:uiPriority w:val="59"/>
    <w:rsid w:val="00F159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nonrsolue1">
    <w:name w:val="Mention non résolue1"/>
    <w:basedOn w:val="DefaultParagraphFont"/>
    <w:uiPriority w:val="99"/>
    <w:semiHidden/>
    <w:unhideWhenUsed/>
    <w:rsid w:val="00656C81"/>
    <w:rPr>
      <w:color w:val="605E5C"/>
      <w:shd w:val="clear" w:color="auto" w:fill="E1DFDD"/>
    </w:rPr>
  </w:style>
  <w:style w:type="character" w:styleId="Emphasis">
    <w:name w:val="Emphasis"/>
    <w:basedOn w:val="DefaultParagraphFont"/>
    <w:uiPriority w:val="20"/>
    <w:qFormat/>
    <w:rsid w:val="004A2BF5"/>
    <w:rPr>
      <w:i/>
      <w:iCs/>
    </w:rPr>
  </w:style>
  <w:style w:type="paragraph" w:customStyle="1" w:styleId="lead-md">
    <w:name w:val="lead-md"/>
    <w:basedOn w:val="Normal"/>
    <w:rsid w:val="00B069D6"/>
    <w:pPr>
      <w:spacing w:before="100" w:beforeAutospacing="1" w:after="100" w:afterAutospacing="1"/>
    </w:pPr>
    <w:rPr>
      <w:lang w:val="es-ES" w:eastAsia="es-ES"/>
    </w:rPr>
  </w:style>
  <w:style w:type="character" w:customStyle="1" w:styleId="photo-title">
    <w:name w:val="photo-title"/>
    <w:basedOn w:val="DefaultParagraphFont"/>
    <w:rsid w:val="00B069D6"/>
  </w:style>
  <w:style w:type="paragraph" w:customStyle="1" w:styleId="ti-section-1">
    <w:name w:val="ti-section-1"/>
    <w:basedOn w:val="Normal"/>
    <w:rsid w:val="00700A87"/>
    <w:pPr>
      <w:spacing w:before="100" w:beforeAutospacing="1" w:after="100" w:afterAutospacing="1"/>
    </w:pPr>
    <w:rPr>
      <w:lang w:val="en-US" w:eastAsia="en-US"/>
    </w:rPr>
  </w:style>
  <w:style w:type="paragraph" w:customStyle="1" w:styleId="ti-section-2">
    <w:name w:val="ti-section-2"/>
    <w:basedOn w:val="Normal"/>
    <w:rsid w:val="00700A87"/>
    <w:pPr>
      <w:spacing w:before="100" w:beforeAutospacing="1" w:after="100" w:afterAutospacing="1"/>
    </w:pPr>
    <w:rPr>
      <w:lang w:val="en-US" w:eastAsia="en-US"/>
    </w:rPr>
  </w:style>
  <w:style w:type="character" w:customStyle="1" w:styleId="bold">
    <w:name w:val="bold"/>
    <w:basedOn w:val="DefaultParagraphFont"/>
    <w:rsid w:val="00700A87"/>
  </w:style>
  <w:style w:type="paragraph" w:customStyle="1" w:styleId="ti-art">
    <w:name w:val="ti-art"/>
    <w:basedOn w:val="Normal"/>
    <w:rsid w:val="00700A87"/>
    <w:pPr>
      <w:spacing w:before="100" w:beforeAutospacing="1" w:after="100" w:afterAutospacing="1"/>
    </w:pPr>
    <w:rPr>
      <w:lang w:val="en-US" w:eastAsia="en-US"/>
    </w:rPr>
  </w:style>
  <w:style w:type="paragraph" w:customStyle="1" w:styleId="sti-art">
    <w:name w:val="sti-art"/>
    <w:basedOn w:val="Normal"/>
    <w:rsid w:val="00700A87"/>
    <w:pPr>
      <w:spacing w:before="100" w:beforeAutospacing="1" w:after="100" w:afterAutospacing="1"/>
    </w:pPr>
    <w:rPr>
      <w:lang w:val="en-US" w:eastAsia="en-US"/>
    </w:rPr>
  </w:style>
  <w:style w:type="paragraph" w:customStyle="1" w:styleId="Normal1">
    <w:name w:val="Normal1"/>
    <w:basedOn w:val="Normal"/>
    <w:rsid w:val="00700A87"/>
    <w:pPr>
      <w:spacing w:before="100" w:beforeAutospacing="1" w:after="100" w:afterAutospacing="1"/>
    </w:pPr>
    <w:rPr>
      <w:lang w:val="en-US" w:eastAsia="en-US"/>
    </w:rPr>
  </w:style>
  <w:style w:type="character" w:customStyle="1" w:styleId="UnresolvedMention2">
    <w:name w:val="Unresolved Mention2"/>
    <w:basedOn w:val="DefaultParagraphFont"/>
    <w:uiPriority w:val="99"/>
    <w:semiHidden/>
    <w:unhideWhenUsed/>
    <w:rsid w:val="008842B6"/>
    <w:rPr>
      <w:color w:val="605E5C"/>
      <w:shd w:val="clear" w:color="auto" w:fill="E1DFDD"/>
    </w:rPr>
  </w:style>
  <w:style w:type="character" w:styleId="UnresolvedMention">
    <w:name w:val="Unresolved Mention"/>
    <w:basedOn w:val="DefaultParagraphFont"/>
    <w:uiPriority w:val="99"/>
    <w:semiHidden/>
    <w:unhideWhenUsed/>
    <w:rsid w:val="00573847"/>
    <w:rPr>
      <w:color w:val="605E5C"/>
      <w:shd w:val="clear" w:color="auto" w:fill="E1DFDD"/>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link w:val="ListParagraph"/>
    <w:uiPriority w:val="34"/>
    <w:qFormat/>
    <w:locked/>
    <w:rsid w:val="005F0F5F"/>
    <w:rPr>
      <w:rFonts w:ascii="Calibri" w:eastAsia="Calibri" w:hAnsi="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95">
      <w:bodyDiv w:val="1"/>
      <w:marLeft w:val="0"/>
      <w:marRight w:val="0"/>
      <w:marTop w:val="0"/>
      <w:marBottom w:val="0"/>
      <w:divBdr>
        <w:top w:val="none" w:sz="0" w:space="0" w:color="auto"/>
        <w:left w:val="none" w:sz="0" w:space="0" w:color="auto"/>
        <w:bottom w:val="none" w:sz="0" w:space="0" w:color="auto"/>
        <w:right w:val="none" w:sz="0" w:space="0" w:color="auto"/>
      </w:divBdr>
    </w:div>
    <w:div w:id="37362511">
      <w:bodyDiv w:val="1"/>
      <w:marLeft w:val="0"/>
      <w:marRight w:val="0"/>
      <w:marTop w:val="0"/>
      <w:marBottom w:val="0"/>
      <w:divBdr>
        <w:top w:val="none" w:sz="0" w:space="0" w:color="auto"/>
        <w:left w:val="none" w:sz="0" w:space="0" w:color="auto"/>
        <w:bottom w:val="none" w:sz="0" w:space="0" w:color="auto"/>
        <w:right w:val="none" w:sz="0" w:space="0" w:color="auto"/>
      </w:divBdr>
    </w:div>
    <w:div w:id="38168964">
      <w:bodyDiv w:val="1"/>
      <w:marLeft w:val="0"/>
      <w:marRight w:val="0"/>
      <w:marTop w:val="0"/>
      <w:marBottom w:val="0"/>
      <w:divBdr>
        <w:top w:val="none" w:sz="0" w:space="0" w:color="auto"/>
        <w:left w:val="none" w:sz="0" w:space="0" w:color="auto"/>
        <w:bottom w:val="none" w:sz="0" w:space="0" w:color="auto"/>
        <w:right w:val="none" w:sz="0" w:space="0" w:color="auto"/>
      </w:divBdr>
    </w:div>
    <w:div w:id="99447436">
      <w:bodyDiv w:val="1"/>
      <w:marLeft w:val="0"/>
      <w:marRight w:val="0"/>
      <w:marTop w:val="0"/>
      <w:marBottom w:val="0"/>
      <w:divBdr>
        <w:top w:val="none" w:sz="0" w:space="0" w:color="auto"/>
        <w:left w:val="none" w:sz="0" w:space="0" w:color="auto"/>
        <w:bottom w:val="none" w:sz="0" w:space="0" w:color="auto"/>
        <w:right w:val="none" w:sz="0" w:space="0" w:color="auto"/>
      </w:divBdr>
    </w:div>
    <w:div w:id="138574156">
      <w:bodyDiv w:val="1"/>
      <w:marLeft w:val="0"/>
      <w:marRight w:val="0"/>
      <w:marTop w:val="0"/>
      <w:marBottom w:val="0"/>
      <w:divBdr>
        <w:top w:val="none" w:sz="0" w:space="0" w:color="auto"/>
        <w:left w:val="none" w:sz="0" w:space="0" w:color="auto"/>
        <w:bottom w:val="none" w:sz="0" w:space="0" w:color="auto"/>
        <w:right w:val="none" w:sz="0" w:space="0" w:color="auto"/>
      </w:divBdr>
    </w:div>
    <w:div w:id="153957222">
      <w:bodyDiv w:val="1"/>
      <w:marLeft w:val="0"/>
      <w:marRight w:val="0"/>
      <w:marTop w:val="0"/>
      <w:marBottom w:val="0"/>
      <w:divBdr>
        <w:top w:val="none" w:sz="0" w:space="0" w:color="auto"/>
        <w:left w:val="none" w:sz="0" w:space="0" w:color="auto"/>
        <w:bottom w:val="none" w:sz="0" w:space="0" w:color="auto"/>
        <w:right w:val="none" w:sz="0" w:space="0" w:color="auto"/>
      </w:divBdr>
      <w:divsChild>
        <w:div w:id="31730628">
          <w:marLeft w:val="0"/>
          <w:marRight w:val="0"/>
          <w:marTop w:val="0"/>
          <w:marBottom w:val="0"/>
          <w:divBdr>
            <w:top w:val="none" w:sz="0" w:space="0" w:color="auto"/>
            <w:left w:val="none" w:sz="0" w:space="0" w:color="auto"/>
            <w:bottom w:val="none" w:sz="0" w:space="0" w:color="auto"/>
            <w:right w:val="none" w:sz="0" w:space="0" w:color="auto"/>
          </w:divBdr>
        </w:div>
        <w:div w:id="65498532">
          <w:marLeft w:val="0"/>
          <w:marRight w:val="0"/>
          <w:marTop w:val="0"/>
          <w:marBottom w:val="0"/>
          <w:divBdr>
            <w:top w:val="none" w:sz="0" w:space="0" w:color="auto"/>
            <w:left w:val="none" w:sz="0" w:space="0" w:color="auto"/>
            <w:bottom w:val="none" w:sz="0" w:space="0" w:color="auto"/>
            <w:right w:val="none" w:sz="0" w:space="0" w:color="auto"/>
          </w:divBdr>
        </w:div>
        <w:div w:id="160894831">
          <w:marLeft w:val="0"/>
          <w:marRight w:val="0"/>
          <w:marTop w:val="0"/>
          <w:marBottom w:val="0"/>
          <w:divBdr>
            <w:top w:val="none" w:sz="0" w:space="0" w:color="auto"/>
            <w:left w:val="none" w:sz="0" w:space="0" w:color="auto"/>
            <w:bottom w:val="none" w:sz="0" w:space="0" w:color="auto"/>
            <w:right w:val="none" w:sz="0" w:space="0" w:color="auto"/>
          </w:divBdr>
        </w:div>
        <w:div w:id="210726534">
          <w:marLeft w:val="0"/>
          <w:marRight w:val="0"/>
          <w:marTop w:val="0"/>
          <w:marBottom w:val="0"/>
          <w:divBdr>
            <w:top w:val="none" w:sz="0" w:space="0" w:color="auto"/>
            <w:left w:val="none" w:sz="0" w:space="0" w:color="auto"/>
            <w:bottom w:val="none" w:sz="0" w:space="0" w:color="auto"/>
            <w:right w:val="none" w:sz="0" w:space="0" w:color="auto"/>
          </w:divBdr>
        </w:div>
        <w:div w:id="298582603">
          <w:marLeft w:val="0"/>
          <w:marRight w:val="0"/>
          <w:marTop w:val="0"/>
          <w:marBottom w:val="0"/>
          <w:divBdr>
            <w:top w:val="none" w:sz="0" w:space="0" w:color="auto"/>
            <w:left w:val="none" w:sz="0" w:space="0" w:color="auto"/>
            <w:bottom w:val="none" w:sz="0" w:space="0" w:color="auto"/>
            <w:right w:val="none" w:sz="0" w:space="0" w:color="auto"/>
          </w:divBdr>
        </w:div>
        <w:div w:id="320278661">
          <w:marLeft w:val="0"/>
          <w:marRight w:val="0"/>
          <w:marTop w:val="0"/>
          <w:marBottom w:val="0"/>
          <w:divBdr>
            <w:top w:val="none" w:sz="0" w:space="0" w:color="auto"/>
            <w:left w:val="none" w:sz="0" w:space="0" w:color="auto"/>
            <w:bottom w:val="none" w:sz="0" w:space="0" w:color="auto"/>
            <w:right w:val="none" w:sz="0" w:space="0" w:color="auto"/>
          </w:divBdr>
        </w:div>
        <w:div w:id="372311405">
          <w:marLeft w:val="0"/>
          <w:marRight w:val="0"/>
          <w:marTop w:val="0"/>
          <w:marBottom w:val="0"/>
          <w:divBdr>
            <w:top w:val="none" w:sz="0" w:space="0" w:color="auto"/>
            <w:left w:val="none" w:sz="0" w:space="0" w:color="auto"/>
            <w:bottom w:val="none" w:sz="0" w:space="0" w:color="auto"/>
            <w:right w:val="none" w:sz="0" w:space="0" w:color="auto"/>
          </w:divBdr>
        </w:div>
        <w:div w:id="426344187">
          <w:marLeft w:val="0"/>
          <w:marRight w:val="0"/>
          <w:marTop w:val="0"/>
          <w:marBottom w:val="0"/>
          <w:divBdr>
            <w:top w:val="none" w:sz="0" w:space="0" w:color="auto"/>
            <w:left w:val="none" w:sz="0" w:space="0" w:color="auto"/>
            <w:bottom w:val="none" w:sz="0" w:space="0" w:color="auto"/>
            <w:right w:val="none" w:sz="0" w:space="0" w:color="auto"/>
          </w:divBdr>
        </w:div>
        <w:div w:id="449474641">
          <w:marLeft w:val="0"/>
          <w:marRight w:val="0"/>
          <w:marTop w:val="0"/>
          <w:marBottom w:val="0"/>
          <w:divBdr>
            <w:top w:val="none" w:sz="0" w:space="0" w:color="auto"/>
            <w:left w:val="none" w:sz="0" w:space="0" w:color="auto"/>
            <w:bottom w:val="none" w:sz="0" w:space="0" w:color="auto"/>
            <w:right w:val="none" w:sz="0" w:space="0" w:color="auto"/>
          </w:divBdr>
        </w:div>
        <w:div w:id="556821178">
          <w:marLeft w:val="0"/>
          <w:marRight w:val="0"/>
          <w:marTop w:val="0"/>
          <w:marBottom w:val="0"/>
          <w:divBdr>
            <w:top w:val="none" w:sz="0" w:space="0" w:color="auto"/>
            <w:left w:val="none" w:sz="0" w:space="0" w:color="auto"/>
            <w:bottom w:val="none" w:sz="0" w:space="0" w:color="auto"/>
            <w:right w:val="none" w:sz="0" w:space="0" w:color="auto"/>
          </w:divBdr>
        </w:div>
        <w:div w:id="861667885">
          <w:marLeft w:val="0"/>
          <w:marRight w:val="0"/>
          <w:marTop w:val="0"/>
          <w:marBottom w:val="0"/>
          <w:divBdr>
            <w:top w:val="none" w:sz="0" w:space="0" w:color="auto"/>
            <w:left w:val="none" w:sz="0" w:space="0" w:color="auto"/>
            <w:bottom w:val="none" w:sz="0" w:space="0" w:color="auto"/>
            <w:right w:val="none" w:sz="0" w:space="0" w:color="auto"/>
          </w:divBdr>
        </w:div>
        <w:div w:id="950747439">
          <w:marLeft w:val="0"/>
          <w:marRight w:val="0"/>
          <w:marTop w:val="0"/>
          <w:marBottom w:val="0"/>
          <w:divBdr>
            <w:top w:val="none" w:sz="0" w:space="0" w:color="auto"/>
            <w:left w:val="none" w:sz="0" w:space="0" w:color="auto"/>
            <w:bottom w:val="none" w:sz="0" w:space="0" w:color="auto"/>
            <w:right w:val="none" w:sz="0" w:space="0" w:color="auto"/>
          </w:divBdr>
        </w:div>
        <w:div w:id="967055965">
          <w:marLeft w:val="0"/>
          <w:marRight w:val="0"/>
          <w:marTop w:val="0"/>
          <w:marBottom w:val="0"/>
          <w:divBdr>
            <w:top w:val="none" w:sz="0" w:space="0" w:color="auto"/>
            <w:left w:val="none" w:sz="0" w:space="0" w:color="auto"/>
            <w:bottom w:val="none" w:sz="0" w:space="0" w:color="auto"/>
            <w:right w:val="none" w:sz="0" w:space="0" w:color="auto"/>
          </w:divBdr>
        </w:div>
        <w:div w:id="1012488949">
          <w:marLeft w:val="0"/>
          <w:marRight w:val="0"/>
          <w:marTop w:val="0"/>
          <w:marBottom w:val="0"/>
          <w:divBdr>
            <w:top w:val="none" w:sz="0" w:space="0" w:color="auto"/>
            <w:left w:val="none" w:sz="0" w:space="0" w:color="auto"/>
            <w:bottom w:val="none" w:sz="0" w:space="0" w:color="auto"/>
            <w:right w:val="none" w:sz="0" w:space="0" w:color="auto"/>
          </w:divBdr>
        </w:div>
        <w:div w:id="1229345909">
          <w:marLeft w:val="0"/>
          <w:marRight w:val="0"/>
          <w:marTop w:val="0"/>
          <w:marBottom w:val="0"/>
          <w:divBdr>
            <w:top w:val="none" w:sz="0" w:space="0" w:color="auto"/>
            <w:left w:val="none" w:sz="0" w:space="0" w:color="auto"/>
            <w:bottom w:val="none" w:sz="0" w:space="0" w:color="auto"/>
            <w:right w:val="none" w:sz="0" w:space="0" w:color="auto"/>
          </w:divBdr>
        </w:div>
        <w:div w:id="1274752884">
          <w:marLeft w:val="0"/>
          <w:marRight w:val="0"/>
          <w:marTop w:val="0"/>
          <w:marBottom w:val="0"/>
          <w:divBdr>
            <w:top w:val="none" w:sz="0" w:space="0" w:color="auto"/>
            <w:left w:val="none" w:sz="0" w:space="0" w:color="auto"/>
            <w:bottom w:val="none" w:sz="0" w:space="0" w:color="auto"/>
            <w:right w:val="none" w:sz="0" w:space="0" w:color="auto"/>
          </w:divBdr>
        </w:div>
        <w:div w:id="1331911865">
          <w:marLeft w:val="0"/>
          <w:marRight w:val="0"/>
          <w:marTop w:val="0"/>
          <w:marBottom w:val="0"/>
          <w:divBdr>
            <w:top w:val="none" w:sz="0" w:space="0" w:color="auto"/>
            <w:left w:val="none" w:sz="0" w:space="0" w:color="auto"/>
            <w:bottom w:val="none" w:sz="0" w:space="0" w:color="auto"/>
            <w:right w:val="none" w:sz="0" w:space="0" w:color="auto"/>
          </w:divBdr>
        </w:div>
      </w:divsChild>
    </w:div>
    <w:div w:id="201596346">
      <w:bodyDiv w:val="1"/>
      <w:marLeft w:val="0"/>
      <w:marRight w:val="0"/>
      <w:marTop w:val="0"/>
      <w:marBottom w:val="0"/>
      <w:divBdr>
        <w:top w:val="none" w:sz="0" w:space="0" w:color="auto"/>
        <w:left w:val="none" w:sz="0" w:space="0" w:color="auto"/>
        <w:bottom w:val="none" w:sz="0" w:space="0" w:color="auto"/>
        <w:right w:val="none" w:sz="0" w:space="0" w:color="auto"/>
      </w:divBdr>
    </w:div>
    <w:div w:id="286932318">
      <w:bodyDiv w:val="1"/>
      <w:marLeft w:val="0"/>
      <w:marRight w:val="0"/>
      <w:marTop w:val="0"/>
      <w:marBottom w:val="0"/>
      <w:divBdr>
        <w:top w:val="none" w:sz="0" w:space="0" w:color="auto"/>
        <w:left w:val="none" w:sz="0" w:space="0" w:color="auto"/>
        <w:bottom w:val="none" w:sz="0" w:space="0" w:color="auto"/>
        <w:right w:val="none" w:sz="0" w:space="0" w:color="auto"/>
      </w:divBdr>
    </w:div>
    <w:div w:id="296222790">
      <w:bodyDiv w:val="1"/>
      <w:marLeft w:val="0"/>
      <w:marRight w:val="0"/>
      <w:marTop w:val="0"/>
      <w:marBottom w:val="0"/>
      <w:divBdr>
        <w:top w:val="none" w:sz="0" w:space="0" w:color="auto"/>
        <w:left w:val="none" w:sz="0" w:space="0" w:color="auto"/>
        <w:bottom w:val="none" w:sz="0" w:space="0" w:color="auto"/>
        <w:right w:val="none" w:sz="0" w:space="0" w:color="auto"/>
      </w:divBdr>
    </w:div>
    <w:div w:id="425419073">
      <w:bodyDiv w:val="1"/>
      <w:marLeft w:val="0"/>
      <w:marRight w:val="0"/>
      <w:marTop w:val="0"/>
      <w:marBottom w:val="0"/>
      <w:divBdr>
        <w:top w:val="none" w:sz="0" w:space="0" w:color="auto"/>
        <w:left w:val="none" w:sz="0" w:space="0" w:color="auto"/>
        <w:bottom w:val="none" w:sz="0" w:space="0" w:color="auto"/>
        <w:right w:val="none" w:sz="0" w:space="0" w:color="auto"/>
      </w:divBdr>
    </w:div>
    <w:div w:id="481001470">
      <w:bodyDiv w:val="1"/>
      <w:marLeft w:val="0"/>
      <w:marRight w:val="0"/>
      <w:marTop w:val="0"/>
      <w:marBottom w:val="0"/>
      <w:divBdr>
        <w:top w:val="none" w:sz="0" w:space="0" w:color="auto"/>
        <w:left w:val="none" w:sz="0" w:space="0" w:color="auto"/>
        <w:bottom w:val="none" w:sz="0" w:space="0" w:color="auto"/>
        <w:right w:val="none" w:sz="0" w:space="0" w:color="auto"/>
      </w:divBdr>
    </w:div>
    <w:div w:id="561911767">
      <w:bodyDiv w:val="1"/>
      <w:marLeft w:val="0"/>
      <w:marRight w:val="0"/>
      <w:marTop w:val="0"/>
      <w:marBottom w:val="0"/>
      <w:divBdr>
        <w:top w:val="none" w:sz="0" w:space="0" w:color="auto"/>
        <w:left w:val="none" w:sz="0" w:space="0" w:color="auto"/>
        <w:bottom w:val="none" w:sz="0" w:space="0" w:color="auto"/>
        <w:right w:val="none" w:sz="0" w:space="0" w:color="auto"/>
      </w:divBdr>
      <w:divsChild>
        <w:div w:id="113910961">
          <w:marLeft w:val="0"/>
          <w:marRight w:val="0"/>
          <w:marTop w:val="0"/>
          <w:marBottom w:val="0"/>
          <w:divBdr>
            <w:top w:val="none" w:sz="0" w:space="0" w:color="auto"/>
            <w:left w:val="none" w:sz="0" w:space="0" w:color="auto"/>
            <w:bottom w:val="none" w:sz="0" w:space="0" w:color="auto"/>
            <w:right w:val="none" w:sz="0" w:space="0" w:color="auto"/>
          </w:divBdr>
        </w:div>
        <w:div w:id="909270704">
          <w:marLeft w:val="0"/>
          <w:marRight w:val="0"/>
          <w:marTop w:val="240"/>
          <w:marBottom w:val="0"/>
          <w:divBdr>
            <w:top w:val="none" w:sz="0" w:space="0" w:color="auto"/>
            <w:left w:val="none" w:sz="0" w:space="0" w:color="auto"/>
            <w:bottom w:val="none" w:sz="0" w:space="0" w:color="auto"/>
            <w:right w:val="none" w:sz="0" w:space="0" w:color="auto"/>
          </w:divBdr>
          <w:divsChild>
            <w:div w:id="95964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5020">
      <w:bodyDiv w:val="1"/>
      <w:marLeft w:val="0"/>
      <w:marRight w:val="0"/>
      <w:marTop w:val="0"/>
      <w:marBottom w:val="0"/>
      <w:divBdr>
        <w:top w:val="none" w:sz="0" w:space="0" w:color="auto"/>
        <w:left w:val="none" w:sz="0" w:space="0" w:color="auto"/>
        <w:bottom w:val="none" w:sz="0" w:space="0" w:color="auto"/>
        <w:right w:val="none" w:sz="0" w:space="0" w:color="auto"/>
      </w:divBdr>
    </w:div>
    <w:div w:id="679165431">
      <w:bodyDiv w:val="1"/>
      <w:marLeft w:val="0"/>
      <w:marRight w:val="0"/>
      <w:marTop w:val="0"/>
      <w:marBottom w:val="0"/>
      <w:divBdr>
        <w:top w:val="none" w:sz="0" w:space="0" w:color="auto"/>
        <w:left w:val="none" w:sz="0" w:space="0" w:color="auto"/>
        <w:bottom w:val="none" w:sz="0" w:space="0" w:color="auto"/>
        <w:right w:val="none" w:sz="0" w:space="0" w:color="auto"/>
      </w:divBdr>
    </w:div>
    <w:div w:id="712386234">
      <w:bodyDiv w:val="1"/>
      <w:marLeft w:val="0"/>
      <w:marRight w:val="0"/>
      <w:marTop w:val="0"/>
      <w:marBottom w:val="0"/>
      <w:divBdr>
        <w:top w:val="none" w:sz="0" w:space="0" w:color="auto"/>
        <w:left w:val="none" w:sz="0" w:space="0" w:color="auto"/>
        <w:bottom w:val="none" w:sz="0" w:space="0" w:color="auto"/>
        <w:right w:val="none" w:sz="0" w:space="0" w:color="auto"/>
      </w:divBdr>
      <w:divsChild>
        <w:div w:id="310595469">
          <w:marLeft w:val="0"/>
          <w:marRight w:val="0"/>
          <w:marTop w:val="0"/>
          <w:marBottom w:val="0"/>
          <w:divBdr>
            <w:top w:val="none" w:sz="0" w:space="0" w:color="auto"/>
            <w:left w:val="none" w:sz="0" w:space="0" w:color="auto"/>
            <w:bottom w:val="none" w:sz="0" w:space="0" w:color="auto"/>
            <w:right w:val="none" w:sz="0" w:space="0" w:color="auto"/>
          </w:divBdr>
        </w:div>
        <w:div w:id="594481985">
          <w:marLeft w:val="0"/>
          <w:marRight w:val="0"/>
          <w:marTop w:val="0"/>
          <w:marBottom w:val="0"/>
          <w:divBdr>
            <w:top w:val="none" w:sz="0" w:space="0" w:color="auto"/>
            <w:left w:val="none" w:sz="0" w:space="0" w:color="auto"/>
            <w:bottom w:val="none" w:sz="0" w:space="0" w:color="auto"/>
            <w:right w:val="none" w:sz="0" w:space="0" w:color="auto"/>
          </w:divBdr>
        </w:div>
        <w:div w:id="895319429">
          <w:marLeft w:val="0"/>
          <w:marRight w:val="0"/>
          <w:marTop w:val="0"/>
          <w:marBottom w:val="0"/>
          <w:divBdr>
            <w:top w:val="none" w:sz="0" w:space="0" w:color="auto"/>
            <w:left w:val="none" w:sz="0" w:space="0" w:color="auto"/>
            <w:bottom w:val="none" w:sz="0" w:space="0" w:color="auto"/>
            <w:right w:val="none" w:sz="0" w:space="0" w:color="auto"/>
          </w:divBdr>
          <w:divsChild>
            <w:div w:id="33239423">
              <w:marLeft w:val="0"/>
              <w:marRight w:val="0"/>
              <w:marTop w:val="0"/>
              <w:marBottom w:val="0"/>
              <w:divBdr>
                <w:top w:val="none" w:sz="0" w:space="0" w:color="auto"/>
                <w:left w:val="none" w:sz="0" w:space="0" w:color="auto"/>
                <w:bottom w:val="none" w:sz="0" w:space="0" w:color="auto"/>
                <w:right w:val="none" w:sz="0" w:space="0" w:color="auto"/>
              </w:divBdr>
            </w:div>
            <w:div w:id="146168264">
              <w:marLeft w:val="0"/>
              <w:marRight w:val="0"/>
              <w:marTop w:val="0"/>
              <w:marBottom w:val="0"/>
              <w:divBdr>
                <w:top w:val="none" w:sz="0" w:space="0" w:color="auto"/>
                <w:left w:val="none" w:sz="0" w:space="0" w:color="auto"/>
                <w:bottom w:val="none" w:sz="0" w:space="0" w:color="auto"/>
                <w:right w:val="none" w:sz="0" w:space="0" w:color="auto"/>
              </w:divBdr>
            </w:div>
            <w:div w:id="224686071">
              <w:marLeft w:val="0"/>
              <w:marRight w:val="0"/>
              <w:marTop w:val="0"/>
              <w:marBottom w:val="0"/>
              <w:divBdr>
                <w:top w:val="none" w:sz="0" w:space="0" w:color="auto"/>
                <w:left w:val="none" w:sz="0" w:space="0" w:color="auto"/>
                <w:bottom w:val="none" w:sz="0" w:space="0" w:color="auto"/>
                <w:right w:val="none" w:sz="0" w:space="0" w:color="auto"/>
              </w:divBdr>
            </w:div>
            <w:div w:id="265886932">
              <w:marLeft w:val="0"/>
              <w:marRight w:val="0"/>
              <w:marTop w:val="0"/>
              <w:marBottom w:val="0"/>
              <w:divBdr>
                <w:top w:val="none" w:sz="0" w:space="0" w:color="auto"/>
                <w:left w:val="none" w:sz="0" w:space="0" w:color="auto"/>
                <w:bottom w:val="none" w:sz="0" w:space="0" w:color="auto"/>
                <w:right w:val="none" w:sz="0" w:space="0" w:color="auto"/>
              </w:divBdr>
            </w:div>
            <w:div w:id="303391270">
              <w:marLeft w:val="0"/>
              <w:marRight w:val="0"/>
              <w:marTop w:val="0"/>
              <w:marBottom w:val="0"/>
              <w:divBdr>
                <w:top w:val="none" w:sz="0" w:space="0" w:color="auto"/>
                <w:left w:val="none" w:sz="0" w:space="0" w:color="auto"/>
                <w:bottom w:val="none" w:sz="0" w:space="0" w:color="auto"/>
                <w:right w:val="none" w:sz="0" w:space="0" w:color="auto"/>
              </w:divBdr>
            </w:div>
            <w:div w:id="306596786">
              <w:marLeft w:val="0"/>
              <w:marRight w:val="0"/>
              <w:marTop w:val="0"/>
              <w:marBottom w:val="0"/>
              <w:divBdr>
                <w:top w:val="none" w:sz="0" w:space="0" w:color="auto"/>
                <w:left w:val="none" w:sz="0" w:space="0" w:color="auto"/>
                <w:bottom w:val="none" w:sz="0" w:space="0" w:color="auto"/>
                <w:right w:val="none" w:sz="0" w:space="0" w:color="auto"/>
              </w:divBdr>
            </w:div>
            <w:div w:id="371345943">
              <w:marLeft w:val="0"/>
              <w:marRight w:val="0"/>
              <w:marTop w:val="0"/>
              <w:marBottom w:val="0"/>
              <w:divBdr>
                <w:top w:val="none" w:sz="0" w:space="0" w:color="auto"/>
                <w:left w:val="none" w:sz="0" w:space="0" w:color="auto"/>
                <w:bottom w:val="none" w:sz="0" w:space="0" w:color="auto"/>
                <w:right w:val="none" w:sz="0" w:space="0" w:color="auto"/>
              </w:divBdr>
            </w:div>
            <w:div w:id="371347652">
              <w:marLeft w:val="0"/>
              <w:marRight w:val="0"/>
              <w:marTop w:val="0"/>
              <w:marBottom w:val="0"/>
              <w:divBdr>
                <w:top w:val="none" w:sz="0" w:space="0" w:color="auto"/>
                <w:left w:val="none" w:sz="0" w:space="0" w:color="auto"/>
                <w:bottom w:val="none" w:sz="0" w:space="0" w:color="auto"/>
                <w:right w:val="none" w:sz="0" w:space="0" w:color="auto"/>
              </w:divBdr>
            </w:div>
            <w:div w:id="425611979">
              <w:marLeft w:val="0"/>
              <w:marRight w:val="0"/>
              <w:marTop w:val="0"/>
              <w:marBottom w:val="0"/>
              <w:divBdr>
                <w:top w:val="none" w:sz="0" w:space="0" w:color="auto"/>
                <w:left w:val="none" w:sz="0" w:space="0" w:color="auto"/>
                <w:bottom w:val="none" w:sz="0" w:space="0" w:color="auto"/>
                <w:right w:val="none" w:sz="0" w:space="0" w:color="auto"/>
              </w:divBdr>
            </w:div>
            <w:div w:id="464392755">
              <w:marLeft w:val="0"/>
              <w:marRight w:val="0"/>
              <w:marTop w:val="0"/>
              <w:marBottom w:val="0"/>
              <w:divBdr>
                <w:top w:val="none" w:sz="0" w:space="0" w:color="auto"/>
                <w:left w:val="none" w:sz="0" w:space="0" w:color="auto"/>
                <w:bottom w:val="none" w:sz="0" w:space="0" w:color="auto"/>
                <w:right w:val="none" w:sz="0" w:space="0" w:color="auto"/>
              </w:divBdr>
            </w:div>
            <w:div w:id="529223694">
              <w:marLeft w:val="0"/>
              <w:marRight w:val="0"/>
              <w:marTop w:val="0"/>
              <w:marBottom w:val="0"/>
              <w:divBdr>
                <w:top w:val="none" w:sz="0" w:space="0" w:color="auto"/>
                <w:left w:val="none" w:sz="0" w:space="0" w:color="auto"/>
                <w:bottom w:val="none" w:sz="0" w:space="0" w:color="auto"/>
                <w:right w:val="none" w:sz="0" w:space="0" w:color="auto"/>
              </w:divBdr>
            </w:div>
            <w:div w:id="591819985">
              <w:marLeft w:val="0"/>
              <w:marRight w:val="0"/>
              <w:marTop w:val="0"/>
              <w:marBottom w:val="0"/>
              <w:divBdr>
                <w:top w:val="none" w:sz="0" w:space="0" w:color="auto"/>
                <w:left w:val="none" w:sz="0" w:space="0" w:color="auto"/>
                <w:bottom w:val="none" w:sz="0" w:space="0" w:color="auto"/>
                <w:right w:val="none" w:sz="0" w:space="0" w:color="auto"/>
              </w:divBdr>
            </w:div>
            <w:div w:id="727991384">
              <w:marLeft w:val="0"/>
              <w:marRight w:val="0"/>
              <w:marTop w:val="0"/>
              <w:marBottom w:val="0"/>
              <w:divBdr>
                <w:top w:val="none" w:sz="0" w:space="0" w:color="auto"/>
                <w:left w:val="none" w:sz="0" w:space="0" w:color="auto"/>
                <w:bottom w:val="none" w:sz="0" w:space="0" w:color="auto"/>
                <w:right w:val="none" w:sz="0" w:space="0" w:color="auto"/>
              </w:divBdr>
            </w:div>
            <w:div w:id="750008579">
              <w:marLeft w:val="0"/>
              <w:marRight w:val="0"/>
              <w:marTop w:val="0"/>
              <w:marBottom w:val="0"/>
              <w:divBdr>
                <w:top w:val="none" w:sz="0" w:space="0" w:color="auto"/>
                <w:left w:val="none" w:sz="0" w:space="0" w:color="auto"/>
                <w:bottom w:val="none" w:sz="0" w:space="0" w:color="auto"/>
                <w:right w:val="none" w:sz="0" w:space="0" w:color="auto"/>
              </w:divBdr>
            </w:div>
            <w:div w:id="823397059">
              <w:marLeft w:val="0"/>
              <w:marRight w:val="0"/>
              <w:marTop w:val="0"/>
              <w:marBottom w:val="0"/>
              <w:divBdr>
                <w:top w:val="none" w:sz="0" w:space="0" w:color="auto"/>
                <w:left w:val="none" w:sz="0" w:space="0" w:color="auto"/>
                <w:bottom w:val="none" w:sz="0" w:space="0" w:color="auto"/>
                <w:right w:val="none" w:sz="0" w:space="0" w:color="auto"/>
              </w:divBdr>
            </w:div>
            <w:div w:id="845246124">
              <w:marLeft w:val="0"/>
              <w:marRight w:val="0"/>
              <w:marTop w:val="0"/>
              <w:marBottom w:val="0"/>
              <w:divBdr>
                <w:top w:val="none" w:sz="0" w:space="0" w:color="auto"/>
                <w:left w:val="none" w:sz="0" w:space="0" w:color="auto"/>
                <w:bottom w:val="none" w:sz="0" w:space="0" w:color="auto"/>
                <w:right w:val="none" w:sz="0" w:space="0" w:color="auto"/>
              </w:divBdr>
            </w:div>
            <w:div w:id="929394406">
              <w:marLeft w:val="0"/>
              <w:marRight w:val="0"/>
              <w:marTop w:val="0"/>
              <w:marBottom w:val="0"/>
              <w:divBdr>
                <w:top w:val="none" w:sz="0" w:space="0" w:color="auto"/>
                <w:left w:val="none" w:sz="0" w:space="0" w:color="auto"/>
                <w:bottom w:val="none" w:sz="0" w:space="0" w:color="auto"/>
                <w:right w:val="none" w:sz="0" w:space="0" w:color="auto"/>
              </w:divBdr>
            </w:div>
            <w:div w:id="967780039">
              <w:marLeft w:val="0"/>
              <w:marRight w:val="0"/>
              <w:marTop w:val="0"/>
              <w:marBottom w:val="0"/>
              <w:divBdr>
                <w:top w:val="none" w:sz="0" w:space="0" w:color="auto"/>
                <w:left w:val="none" w:sz="0" w:space="0" w:color="auto"/>
                <w:bottom w:val="none" w:sz="0" w:space="0" w:color="auto"/>
                <w:right w:val="none" w:sz="0" w:space="0" w:color="auto"/>
              </w:divBdr>
            </w:div>
            <w:div w:id="983966237">
              <w:marLeft w:val="0"/>
              <w:marRight w:val="0"/>
              <w:marTop w:val="0"/>
              <w:marBottom w:val="0"/>
              <w:divBdr>
                <w:top w:val="none" w:sz="0" w:space="0" w:color="auto"/>
                <w:left w:val="none" w:sz="0" w:space="0" w:color="auto"/>
                <w:bottom w:val="none" w:sz="0" w:space="0" w:color="auto"/>
                <w:right w:val="none" w:sz="0" w:space="0" w:color="auto"/>
              </w:divBdr>
            </w:div>
            <w:div w:id="999892718">
              <w:marLeft w:val="0"/>
              <w:marRight w:val="0"/>
              <w:marTop w:val="0"/>
              <w:marBottom w:val="0"/>
              <w:divBdr>
                <w:top w:val="none" w:sz="0" w:space="0" w:color="auto"/>
                <w:left w:val="none" w:sz="0" w:space="0" w:color="auto"/>
                <w:bottom w:val="none" w:sz="0" w:space="0" w:color="auto"/>
                <w:right w:val="none" w:sz="0" w:space="0" w:color="auto"/>
              </w:divBdr>
            </w:div>
            <w:div w:id="1122841622">
              <w:marLeft w:val="0"/>
              <w:marRight w:val="0"/>
              <w:marTop w:val="0"/>
              <w:marBottom w:val="0"/>
              <w:divBdr>
                <w:top w:val="none" w:sz="0" w:space="0" w:color="auto"/>
                <w:left w:val="none" w:sz="0" w:space="0" w:color="auto"/>
                <w:bottom w:val="none" w:sz="0" w:space="0" w:color="auto"/>
                <w:right w:val="none" w:sz="0" w:space="0" w:color="auto"/>
              </w:divBdr>
            </w:div>
            <w:div w:id="1130784143">
              <w:marLeft w:val="0"/>
              <w:marRight w:val="0"/>
              <w:marTop w:val="0"/>
              <w:marBottom w:val="0"/>
              <w:divBdr>
                <w:top w:val="none" w:sz="0" w:space="0" w:color="auto"/>
                <w:left w:val="none" w:sz="0" w:space="0" w:color="auto"/>
                <w:bottom w:val="none" w:sz="0" w:space="0" w:color="auto"/>
                <w:right w:val="none" w:sz="0" w:space="0" w:color="auto"/>
              </w:divBdr>
            </w:div>
            <w:div w:id="1174684539">
              <w:marLeft w:val="0"/>
              <w:marRight w:val="0"/>
              <w:marTop w:val="0"/>
              <w:marBottom w:val="0"/>
              <w:divBdr>
                <w:top w:val="none" w:sz="0" w:space="0" w:color="auto"/>
                <w:left w:val="none" w:sz="0" w:space="0" w:color="auto"/>
                <w:bottom w:val="none" w:sz="0" w:space="0" w:color="auto"/>
                <w:right w:val="none" w:sz="0" w:space="0" w:color="auto"/>
              </w:divBdr>
            </w:div>
            <w:div w:id="1199585759">
              <w:marLeft w:val="0"/>
              <w:marRight w:val="0"/>
              <w:marTop w:val="0"/>
              <w:marBottom w:val="0"/>
              <w:divBdr>
                <w:top w:val="none" w:sz="0" w:space="0" w:color="auto"/>
                <w:left w:val="none" w:sz="0" w:space="0" w:color="auto"/>
                <w:bottom w:val="none" w:sz="0" w:space="0" w:color="auto"/>
                <w:right w:val="none" w:sz="0" w:space="0" w:color="auto"/>
              </w:divBdr>
            </w:div>
            <w:div w:id="1272471148">
              <w:marLeft w:val="0"/>
              <w:marRight w:val="0"/>
              <w:marTop w:val="0"/>
              <w:marBottom w:val="0"/>
              <w:divBdr>
                <w:top w:val="none" w:sz="0" w:space="0" w:color="auto"/>
                <w:left w:val="none" w:sz="0" w:space="0" w:color="auto"/>
                <w:bottom w:val="none" w:sz="0" w:space="0" w:color="auto"/>
                <w:right w:val="none" w:sz="0" w:space="0" w:color="auto"/>
              </w:divBdr>
            </w:div>
            <w:div w:id="1320184647">
              <w:marLeft w:val="0"/>
              <w:marRight w:val="0"/>
              <w:marTop w:val="0"/>
              <w:marBottom w:val="0"/>
              <w:divBdr>
                <w:top w:val="none" w:sz="0" w:space="0" w:color="auto"/>
                <w:left w:val="none" w:sz="0" w:space="0" w:color="auto"/>
                <w:bottom w:val="none" w:sz="0" w:space="0" w:color="auto"/>
                <w:right w:val="none" w:sz="0" w:space="0" w:color="auto"/>
              </w:divBdr>
            </w:div>
            <w:div w:id="1343236453">
              <w:marLeft w:val="0"/>
              <w:marRight w:val="0"/>
              <w:marTop w:val="0"/>
              <w:marBottom w:val="0"/>
              <w:divBdr>
                <w:top w:val="none" w:sz="0" w:space="0" w:color="auto"/>
                <w:left w:val="none" w:sz="0" w:space="0" w:color="auto"/>
                <w:bottom w:val="none" w:sz="0" w:space="0" w:color="auto"/>
                <w:right w:val="none" w:sz="0" w:space="0" w:color="auto"/>
              </w:divBdr>
            </w:div>
            <w:div w:id="1635140687">
              <w:marLeft w:val="0"/>
              <w:marRight w:val="0"/>
              <w:marTop w:val="0"/>
              <w:marBottom w:val="0"/>
              <w:divBdr>
                <w:top w:val="none" w:sz="0" w:space="0" w:color="auto"/>
                <w:left w:val="none" w:sz="0" w:space="0" w:color="auto"/>
                <w:bottom w:val="none" w:sz="0" w:space="0" w:color="auto"/>
                <w:right w:val="none" w:sz="0" w:space="0" w:color="auto"/>
              </w:divBdr>
            </w:div>
            <w:div w:id="1655404695">
              <w:marLeft w:val="0"/>
              <w:marRight w:val="0"/>
              <w:marTop w:val="0"/>
              <w:marBottom w:val="0"/>
              <w:divBdr>
                <w:top w:val="none" w:sz="0" w:space="0" w:color="auto"/>
                <w:left w:val="none" w:sz="0" w:space="0" w:color="auto"/>
                <w:bottom w:val="none" w:sz="0" w:space="0" w:color="auto"/>
                <w:right w:val="none" w:sz="0" w:space="0" w:color="auto"/>
              </w:divBdr>
            </w:div>
            <w:div w:id="1746606395">
              <w:marLeft w:val="0"/>
              <w:marRight w:val="0"/>
              <w:marTop w:val="0"/>
              <w:marBottom w:val="0"/>
              <w:divBdr>
                <w:top w:val="none" w:sz="0" w:space="0" w:color="auto"/>
                <w:left w:val="none" w:sz="0" w:space="0" w:color="auto"/>
                <w:bottom w:val="none" w:sz="0" w:space="0" w:color="auto"/>
                <w:right w:val="none" w:sz="0" w:space="0" w:color="auto"/>
              </w:divBdr>
            </w:div>
            <w:div w:id="1759055357">
              <w:marLeft w:val="0"/>
              <w:marRight w:val="0"/>
              <w:marTop w:val="0"/>
              <w:marBottom w:val="0"/>
              <w:divBdr>
                <w:top w:val="none" w:sz="0" w:space="0" w:color="auto"/>
                <w:left w:val="none" w:sz="0" w:space="0" w:color="auto"/>
                <w:bottom w:val="none" w:sz="0" w:space="0" w:color="auto"/>
                <w:right w:val="none" w:sz="0" w:space="0" w:color="auto"/>
              </w:divBdr>
            </w:div>
            <w:div w:id="1764840806">
              <w:marLeft w:val="0"/>
              <w:marRight w:val="0"/>
              <w:marTop w:val="0"/>
              <w:marBottom w:val="0"/>
              <w:divBdr>
                <w:top w:val="none" w:sz="0" w:space="0" w:color="auto"/>
                <w:left w:val="none" w:sz="0" w:space="0" w:color="auto"/>
                <w:bottom w:val="none" w:sz="0" w:space="0" w:color="auto"/>
                <w:right w:val="none" w:sz="0" w:space="0" w:color="auto"/>
              </w:divBdr>
            </w:div>
            <w:div w:id="1851798816">
              <w:marLeft w:val="0"/>
              <w:marRight w:val="0"/>
              <w:marTop w:val="0"/>
              <w:marBottom w:val="0"/>
              <w:divBdr>
                <w:top w:val="none" w:sz="0" w:space="0" w:color="auto"/>
                <w:left w:val="none" w:sz="0" w:space="0" w:color="auto"/>
                <w:bottom w:val="none" w:sz="0" w:space="0" w:color="auto"/>
                <w:right w:val="none" w:sz="0" w:space="0" w:color="auto"/>
              </w:divBdr>
            </w:div>
            <w:div w:id="1898709392">
              <w:marLeft w:val="0"/>
              <w:marRight w:val="0"/>
              <w:marTop w:val="0"/>
              <w:marBottom w:val="0"/>
              <w:divBdr>
                <w:top w:val="none" w:sz="0" w:space="0" w:color="auto"/>
                <w:left w:val="none" w:sz="0" w:space="0" w:color="auto"/>
                <w:bottom w:val="none" w:sz="0" w:space="0" w:color="auto"/>
                <w:right w:val="none" w:sz="0" w:space="0" w:color="auto"/>
              </w:divBdr>
            </w:div>
            <w:div w:id="1925263907">
              <w:marLeft w:val="0"/>
              <w:marRight w:val="0"/>
              <w:marTop w:val="0"/>
              <w:marBottom w:val="0"/>
              <w:divBdr>
                <w:top w:val="none" w:sz="0" w:space="0" w:color="auto"/>
                <w:left w:val="none" w:sz="0" w:space="0" w:color="auto"/>
                <w:bottom w:val="none" w:sz="0" w:space="0" w:color="auto"/>
                <w:right w:val="none" w:sz="0" w:space="0" w:color="auto"/>
              </w:divBdr>
            </w:div>
            <w:div w:id="1934320432">
              <w:marLeft w:val="0"/>
              <w:marRight w:val="0"/>
              <w:marTop w:val="0"/>
              <w:marBottom w:val="0"/>
              <w:divBdr>
                <w:top w:val="none" w:sz="0" w:space="0" w:color="auto"/>
                <w:left w:val="none" w:sz="0" w:space="0" w:color="auto"/>
                <w:bottom w:val="none" w:sz="0" w:space="0" w:color="auto"/>
                <w:right w:val="none" w:sz="0" w:space="0" w:color="auto"/>
              </w:divBdr>
            </w:div>
            <w:div w:id="1952013396">
              <w:marLeft w:val="0"/>
              <w:marRight w:val="0"/>
              <w:marTop w:val="0"/>
              <w:marBottom w:val="0"/>
              <w:divBdr>
                <w:top w:val="none" w:sz="0" w:space="0" w:color="auto"/>
                <w:left w:val="none" w:sz="0" w:space="0" w:color="auto"/>
                <w:bottom w:val="none" w:sz="0" w:space="0" w:color="auto"/>
                <w:right w:val="none" w:sz="0" w:space="0" w:color="auto"/>
              </w:divBdr>
            </w:div>
            <w:div w:id="2028172303">
              <w:marLeft w:val="0"/>
              <w:marRight w:val="0"/>
              <w:marTop w:val="0"/>
              <w:marBottom w:val="0"/>
              <w:divBdr>
                <w:top w:val="none" w:sz="0" w:space="0" w:color="auto"/>
                <w:left w:val="none" w:sz="0" w:space="0" w:color="auto"/>
                <w:bottom w:val="none" w:sz="0" w:space="0" w:color="auto"/>
                <w:right w:val="none" w:sz="0" w:space="0" w:color="auto"/>
              </w:divBdr>
            </w:div>
            <w:div w:id="2125271228">
              <w:marLeft w:val="0"/>
              <w:marRight w:val="0"/>
              <w:marTop w:val="0"/>
              <w:marBottom w:val="0"/>
              <w:divBdr>
                <w:top w:val="none" w:sz="0" w:space="0" w:color="auto"/>
                <w:left w:val="none" w:sz="0" w:space="0" w:color="auto"/>
                <w:bottom w:val="none" w:sz="0" w:space="0" w:color="auto"/>
                <w:right w:val="none" w:sz="0" w:space="0" w:color="auto"/>
              </w:divBdr>
            </w:div>
            <w:div w:id="2125348573">
              <w:marLeft w:val="0"/>
              <w:marRight w:val="0"/>
              <w:marTop w:val="0"/>
              <w:marBottom w:val="0"/>
              <w:divBdr>
                <w:top w:val="none" w:sz="0" w:space="0" w:color="auto"/>
                <w:left w:val="none" w:sz="0" w:space="0" w:color="auto"/>
                <w:bottom w:val="none" w:sz="0" w:space="0" w:color="auto"/>
                <w:right w:val="none" w:sz="0" w:space="0" w:color="auto"/>
              </w:divBdr>
            </w:div>
          </w:divsChild>
        </w:div>
        <w:div w:id="1623681758">
          <w:marLeft w:val="0"/>
          <w:marRight w:val="0"/>
          <w:marTop w:val="0"/>
          <w:marBottom w:val="0"/>
          <w:divBdr>
            <w:top w:val="none" w:sz="0" w:space="0" w:color="auto"/>
            <w:left w:val="none" w:sz="0" w:space="0" w:color="auto"/>
            <w:bottom w:val="none" w:sz="0" w:space="0" w:color="auto"/>
            <w:right w:val="none" w:sz="0" w:space="0" w:color="auto"/>
          </w:divBdr>
        </w:div>
        <w:div w:id="2011104724">
          <w:marLeft w:val="0"/>
          <w:marRight w:val="0"/>
          <w:marTop w:val="0"/>
          <w:marBottom w:val="0"/>
          <w:divBdr>
            <w:top w:val="none" w:sz="0" w:space="0" w:color="auto"/>
            <w:left w:val="none" w:sz="0" w:space="0" w:color="auto"/>
            <w:bottom w:val="none" w:sz="0" w:space="0" w:color="auto"/>
            <w:right w:val="none" w:sz="0" w:space="0" w:color="auto"/>
          </w:divBdr>
        </w:div>
      </w:divsChild>
    </w:div>
    <w:div w:id="759063638">
      <w:bodyDiv w:val="1"/>
      <w:marLeft w:val="0"/>
      <w:marRight w:val="0"/>
      <w:marTop w:val="0"/>
      <w:marBottom w:val="0"/>
      <w:divBdr>
        <w:top w:val="none" w:sz="0" w:space="0" w:color="auto"/>
        <w:left w:val="none" w:sz="0" w:space="0" w:color="auto"/>
        <w:bottom w:val="none" w:sz="0" w:space="0" w:color="auto"/>
        <w:right w:val="none" w:sz="0" w:space="0" w:color="auto"/>
      </w:divBdr>
      <w:divsChild>
        <w:div w:id="38168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267">
      <w:bodyDiv w:val="1"/>
      <w:marLeft w:val="0"/>
      <w:marRight w:val="0"/>
      <w:marTop w:val="0"/>
      <w:marBottom w:val="0"/>
      <w:divBdr>
        <w:top w:val="none" w:sz="0" w:space="0" w:color="auto"/>
        <w:left w:val="none" w:sz="0" w:space="0" w:color="auto"/>
        <w:bottom w:val="none" w:sz="0" w:space="0" w:color="auto"/>
        <w:right w:val="none" w:sz="0" w:space="0" w:color="auto"/>
      </w:divBdr>
    </w:div>
    <w:div w:id="876312757">
      <w:bodyDiv w:val="1"/>
      <w:marLeft w:val="0"/>
      <w:marRight w:val="0"/>
      <w:marTop w:val="0"/>
      <w:marBottom w:val="0"/>
      <w:divBdr>
        <w:top w:val="none" w:sz="0" w:space="0" w:color="auto"/>
        <w:left w:val="none" w:sz="0" w:space="0" w:color="auto"/>
        <w:bottom w:val="none" w:sz="0" w:space="0" w:color="auto"/>
        <w:right w:val="none" w:sz="0" w:space="0" w:color="auto"/>
      </w:divBdr>
    </w:div>
    <w:div w:id="895776871">
      <w:bodyDiv w:val="1"/>
      <w:marLeft w:val="0"/>
      <w:marRight w:val="0"/>
      <w:marTop w:val="0"/>
      <w:marBottom w:val="0"/>
      <w:divBdr>
        <w:top w:val="none" w:sz="0" w:space="0" w:color="auto"/>
        <w:left w:val="none" w:sz="0" w:space="0" w:color="auto"/>
        <w:bottom w:val="none" w:sz="0" w:space="0" w:color="auto"/>
        <w:right w:val="none" w:sz="0" w:space="0" w:color="auto"/>
      </w:divBdr>
    </w:div>
    <w:div w:id="910969670">
      <w:bodyDiv w:val="1"/>
      <w:marLeft w:val="0"/>
      <w:marRight w:val="0"/>
      <w:marTop w:val="0"/>
      <w:marBottom w:val="0"/>
      <w:divBdr>
        <w:top w:val="none" w:sz="0" w:space="0" w:color="auto"/>
        <w:left w:val="none" w:sz="0" w:space="0" w:color="auto"/>
        <w:bottom w:val="none" w:sz="0" w:space="0" w:color="auto"/>
        <w:right w:val="none" w:sz="0" w:space="0" w:color="auto"/>
      </w:divBdr>
    </w:div>
    <w:div w:id="931817834">
      <w:bodyDiv w:val="1"/>
      <w:marLeft w:val="0"/>
      <w:marRight w:val="0"/>
      <w:marTop w:val="0"/>
      <w:marBottom w:val="0"/>
      <w:divBdr>
        <w:top w:val="none" w:sz="0" w:space="0" w:color="auto"/>
        <w:left w:val="none" w:sz="0" w:space="0" w:color="auto"/>
        <w:bottom w:val="none" w:sz="0" w:space="0" w:color="auto"/>
        <w:right w:val="none" w:sz="0" w:space="0" w:color="auto"/>
      </w:divBdr>
    </w:div>
    <w:div w:id="995113155">
      <w:bodyDiv w:val="1"/>
      <w:marLeft w:val="0"/>
      <w:marRight w:val="0"/>
      <w:marTop w:val="0"/>
      <w:marBottom w:val="0"/>
      <w:divBdr>
        <w:top w:val="none" w:sz="0" w:space="0" w:color="auto"/>
        <w:left w:val="none" w:sz="0" w:space="0" w:color="auto"/>
        <w:bottom w:val="none" w:sz="0" w:space="0" w:color="auto"/>
        <w:right w:val="none" w:sz="0" w:space="0" w:color="auto"/>
      </w:divBdr>
    </w:div>
    <w:div w:id="995645535">
      <w:bodyDiv w:val="1"/>
      <w:marLeft w:val="0"/>
      <w:marRight w:val="0"/>
      <w:marTop w:val="0"/>
      <w:marBottom w:val="0"/>
      <w:divBdr>
        <w:top w:val="none" w:sz="0" w:space="0" w:color="auto"/>
        <w:left w:val="none" w:sz="0" w:space="0" w:color="auto"/>
        <w:bottom w:val="none" w:sz="0" w:space="0" w:color="auto"/>
        <w:right w:val="none" w:sz="0" w:space="0" w:color="auto"/>
      </w:divBdr>
    </w:div>
    <w:div w:id="1000503410">
      <w:bodyDiv w:val="1"/>
      <w:marLeft w:val="0"/>
      <w:marRight w:val="0"/>
      <w:marTop w:val="0"/>
      <w:marBottom w:val="0"/>
      <w:divBdr>
        <w:top w:val="none" w:sz="0" w:space="0" w:color="auto"/>
        <w:left w:val="none" w:sz="0" w:space="0" w:color="auto"/>
        <w:bottom w:val="none" w:sz="0" w:space="0" w:color="auto"/>
        <w:right w:val="none" w:sz="0" w:space="0" w:color="auto"/>
      </w:divBdr>
    </w:div>
    <w:div w:id="1058821085">
      <w:bodyDiv w:val="1"/>
      <w:marLeft w:val="0"/>
      <w:marRight w:val="0"/>
      <w:marTop w:val="0"/>
      <w:marBottom w:val="0"/>
      <w:divBdr>
        <w:top w:val="none" w:sz="0" w:space="0" w:color="auto"/>
        <w:left w:val="none" w:sz="0" w:space="0" w:color="auto"/>
        <w:bottom w:val="none" w:sz="0" w:space="0" w:color="auto"/>
        <w:right w:val="none" w:sz="0" w:space="0" w:color="auto"/>
      </w:divBdr>
    </w:div>
    <w:div w:id="1084112143">
      <w:bodyDiv w:val="1"/>
      <w:marLeft w:val="0"/>
      <w:marRight w:val="0"/>
      <w:marTop w:val="0"/>
      <w:marBottom w:val="0"/>
      <w:divBdr>
        <w:top w:val="none" w:sz="0" w:space="0" w:color="auto"/>
        <w:left w:val="none" w:sz="0" w:space="0" w:color="auto"/>
        <w:bottom w:val="none" w:sz="0" w:space="0" w:color="auto"/>
        <w:right w:val="none" w:sz="0" w:space="0" w:color="auto"/>
      </w:divBdr>
    </w:div>
    <w:div w:id="1095243370">
      <w:bodyDiv w:val="1"/>
      <w:marLeft w:val="0"/>
      <w:marRight w:val="0"/>
      <w:marTop w:val="0"/>
      <w:marBottom w:val="0"/>
      <w:divBdr>
        <w:top w:val="none" w:sz="0" w:space="0" w:color="auto"/>
        <w:left w:val="none" w:sz="0" w:space="0" w:color="auto"/>
        <w:bottom w:val="none" w:sz="0" w:space="0" w:color="auto"/>
        <w:right w:val="none" w:sz="0" w:space="0" w:color="auto"/>
      </w:divBdr>
    </w:div>
    <w:div w:id="1165392951">
      <w:bodyDiv w:val="1"/>
      <w:marLeft w:val="0"/>
      <w:marRight w:val="0"/>
      <w:marTop w:val="0"/>
      <w:marBottom w:val="0"/>
      <w:divBdr>
        <w:top w:val="none" w:sz="0" w:space="0" w:color="auto"/>
        <w:left w:val="none" w:sz="0" w:space="0" w:color="auto"/>
        <w:bottom w:val="none" w:sz="0" w:space="0" w:color="auto"/>
        <w:right w:val="none" w:sz="0" w:space="0" w:color="auto"/>
      </w:divBdr>
    </w:div>
    <w:div w:id="1193689404">
      <w:bodyDiv w:val="1"/>
      <w:marLeft w:val="0"/>
      <w:marRight w:val="0"/>
      <w:marTop w:val="0"/>
      <w:marBottom w:val="0"/>
      <w:divBdr>
        <w:top w:val="none" w:sz="0" w:space="0" w:color="auto"/>
        <w:left w:val="none" w:sz="0" w:space="0" w:color="auto"/>
        <w:bottom w:val="none" w:sz="0" w:space="0" w:color="auto"/>
        <w:right w:val="none" w:sz="0" w:space="0" w:color="auto"/>
      </w:divBdr>
    </w:div>
    <w:div w:id="1257790138">
      <w:bodyDiv w:val="1"/>
      <w:marLeft w:val="0"/>
      <w:marRight w:val="0"/>
      <w:marTop w:val="0"/>
      <w:marBottom w:val="0"/>
      <w:divBdr>
        <w:top w:val="none" w:sz="0" w:space="0" w:color="auto"/>
        <w:left w:val="none" w:sz="0" w:space="0" w:color="auto"/>
        <w:bottom w:val="none" w:sz="0" w:space="0" w:color="auto"/>
        <w:right w:val="none" w:sz="0" w:space="0" w:color="auto"/>
      </w:divBdr>
    </w:div>
    <w:div w:id="1413618815">
      <w:bodyDiv w:val="1"/>
      <w:marLeft w:val="0"/>
      <w:marRight w:val="0"/>
      <w:marTop w:val="0"/>
      <w:marBottom w:val="0"/>
      <w:divBdr>
        <w:top w:val="none" w:sz="0" w:space="0" w:color="auto"/>
        <w:left w:val="none" w:sz="0" w:space="0" w:color="auto"/>
        <w:bottom w:val="none" w:sz="0" w:space="0" w:color="auto"/>
        <w:right w:val="none" w:sz="0" w:space="0" w:color="auto"/>
      </w:divBdr>
    </w:div>
    <w:div w:id="1440300946">
      <w:bodyDiv w:val="1"/>
      <w:marLeft w:val="0"/>
      <w:marRight w:val="0"/>
      <w:marTop w:val="0"/>
      <w:marBottom w:val="0"/>
      <w:divBdr>
        <w:top w:val="none" w:sz="0" w:space="0" w:color="auto"/>
        <w:left w:val="none" w:sz="0" w:space="0" w:color="auto"/>
        <w:bottom w:val="none" w:sz="0" w:space="0" w:color="auto"/>
        <w:right w:val="none" w:sz="0" w:space="0" w:color="auto"/>
      </w:divBdr>
    </w:div>
    <w:div w:id="1441023484">
      <w:bodyDiv w:val="1"/>
      <w:marLeft w:val="0"/>
      <w:marRight w:val="0"/>
      <w:marTop w:val="0"/>
      <w:marBottom w:val="0"/>
      <w:divBdr>
        <w:top w:val="none" w:sz="0" w:space="0" w:color="auto"/>
        <w:left w:val="none" w:sz="0" w:space="0" w:color="auto"/>
        <w:bottom w:val="none" w:sz="0" w:space="0" w:color="auto"/>
        <w:right w:val="none" w:sz="0" w:space="0" w:color="auto"/>
      </w:divBdr>
    </w:div>
    <w:div w:id="1441605596">
      <w:bodyDiv w:val="1"/>
      <w:marLeft w:val="0"/>
      <w:marRight w:val="0"/>
      <w:marTop w:val="0"/>
      <w:marBottom w:val="0"/>
      <w:divBdr>
        <w:top w:val="none" w:sz="0" w:space="0" w:color="auto"/>
        <w:left w:val="none" w:sz="0" w:space="0" w:color="auto"/>
        <w:bottom w:val="none" w:sz="0" w:space="0" w:color="auto"/>
        <w:right w:val="none" w:sz="0" w:space="0" w:color="auto"/>
      </w:divBdr>
      <w:divsChild>
        <w:div w:id="256139220">
          <w:marLeft w:val="0"/>
          <w:marRight w:val="0"/>
          <w:marTop w:val="0"/>
          <w:marBottom w:val="0"/>
          <w:divBdr>
            <w:top w:val="none" w:sz="0" w:space="0" w:color="auto"/>
            <w:left w:val="none" w:sz="0" w:space="0" w:color="auto"/>
            <w:bottom w:val="none" w:sz="0" w:space="0" w:color="auto"/>
            <w:right w:val="none" w:sz="0" w:space="0" w:color="auto"/>
          </w:divBdr>
        </w:div>
        <w:div w:id="401172821">
          <w:marLeft w:val="0"/>
          <w:marRight w:val="0"/>
          <w:marTop w:val="0"/>
          <w:marBottom w:val="0"/>
          <w:divBdr>
            <w:top w:val="none" w:sz="0" w:space="0" w:color="auto"/>
            <w:left w:val="none" w:sz="0" w:space="0" w:color="auto"/>
            <w:bottom w:val="none" w:sz="0" w:space="0" w:color="auto"/>
            <w:right w:val="none" w:sz="0" w:space="0" w:color="auto"/>
          </w:divBdr>
        </w:div>
        <w:div w:id="929005521">
          <w:marLeft w:val="0"/>
          <w:marRight w:val="0"/>
          <w:marTop w:val="0"/>
          <w:marBottom w:val="0"/>
          <w:divBdr>
            <w:top w:val="none" w:sz="0" w:space="0" w:color="auto"/>
            <w:left w:val="none" w:sz="0" w:space="0" w:color="auto"/>
            <w:bottom w:val="none" w:sz="0" w:space="0" w:color="auto"/>
            <w:right w:val="none" w:sz="0" w:space="0" w:color="auto"/>
          </w:divBdr>
        </w:div>
        <w:div w:id="1710105616">
          <w:marLeft w:val="0"/>
          <w:marRight w:val="0"/>
          <w:marTop w:val="0"/>
          <w:marBottom w:val="0"/>
          <w:divBdr>
            <w:top w:val="none" w:sz="0" w:space="0" w:color="auto"/>
            <w:left w:val="none" w:sz="0" w:space="0" w:color="auto"/>
            <w:bottom w:val="none" w:sz="0" w:space="0" w:color="auto"/>
            <w:right w:val="none" w:sz="0" w:space="0" w:color="auto"/>
          </w:divBdr>
        </w:div>
        <w:div w:id="1776439338">
          <w:marLeft w:val="0"/>
          <w:marRight w:val="0"/>
          <w:marTop w:val="0"/>
          <w:marBottom w:val="0"/>
          <w:divBdr>
            <w:top w:val="none" w:sz="0" w:space="0" w:color="auto"/>
            <w:left w:val="none" w:sz="0" w:space="0" w:color="auto"/>
            <w:bottom w:val="none" w:sz="0" w:space="0" w:color="auto"/>
            <w:right w:val="none" w:sz="0" w:space="0" w:color="auto"/>
          </w:divBdr>
        </w:div>
        <w:div w:id="2065905627">
          <w:marLeft w:val="0"/>
          <w:marRight w:val="0"/>
          <w:marTop w:val="0"/>
          <w:marBottom w:val="0"/>
          <w:divBdr>
            <w:top w:val="none" w:sz="0" w:space="0" w:color="auto"/>
            <w:left w:val="none" w:sz="0" w:space="0" w:color="auto"/>
            <w:bottom w:val="none" w:sz="0" w:space="0" w:color="auto"/>
            <w:right w:val="none" w:sz="0" w:space="0" w:color="auto"/>
          </w:divBdr>
        </w:div>
        <w:div w:id="2131044753">
          <w:marLeft w:val="0"/>
          <w:marRight w:val="0"/>
          <w:marTop w:val="0"/>
          <w:marBottom w:val="0"/>
          <w:divBdr>
            <w:top w:val="none" w:sz="0" w:space="0" w:color="auto"/>
            <w:left w:val="none" w:sz="0" w:space="0" w:color="auto"/>
            <w:bottom w:val="none" w:sz="0" w:space="0" w:color="auto"/>
            <w:right w:val="none" w:sz="0" w:space="0" w:color="auto"/>
          </w:divBdr>
        </w:div>
      </w:divsChild>
    </w:div>
    <w:div w:id="1464734385">
      <w:bodyDiv w:val="1"/>
      <w:marLeft w:val="0"/>
      <w:marRight w:val="0"/>
      <w:marTop w:val="0"/>
      <w:marBottom w:val="0"/>
      <w:divBdr>
        <w:top w:val="none" w:sz="0" w:space="0" w:color="auto"/>
        <w:left w:val="none" w:sz="0" w:space="0" w:color="auto"/>
        <w:bottom w:val="none" w:sz="0" w:space="0" w:color="auto"/>
        <w:right w:val="none" w:sz="0" w:space="0" w:color="auto"/>
      </w:divBdr>
    </w:div>
    <w:div w:id="1517228935">
      <w:bodyDiv w:val="1"/>
      <w:marLeft w:val="0"/>
      <w:marRight w:val="0"/>
      <w:marTop w:val="0"/>
      <w:marBottom w:val="0"/>
      <w:divBdr>
        <w:top w:val="none" w:sz="0" w:space="0" w:color="auto"/>
        <w:left w:val="none" w:sz="0" w:space="0" w:color="auto"/>
        <w:bottom w:val="none" w:sz="0" w:space="0" w:color="auto"/>
        <w:right w:val="none" w:sz="0" w:space="0" w:color="auto"/>
      </w:divBdr>
    </w:div>
    <w:div w:id="1558930865">
      <w:bodyDiv w:val="1"/>
      <w:marLeft w:val="0"/>
      <w:marRight w:val="0"/>
      <w:marTop w:val="0"/>
      <w:marBottom w:val="0"/>
      <w:divBdr>
        <w:top w:val="none" w:sz="0" w:space="0" w:color="auto"/>
        <w:left w:val="none" w:sz="0" w:space="0" w:color="auto"/>
        <w:bottom w:val="none" w:sz="0" w:space="0" w:color="auto"/>
        <w:right w:val="none" w:sz="0" w:space="0" w:color="auto"/>
      </w:divBdr>
    </w:div>
    <w:div w:id="1571845509">
      <w:bodyDiv w:val="1"/>
      <w:marLeft w:val="0"/>
      <w:marRight w:val="0"/>
      <w:marTop w:val="0"/>
      <w:marBottom w:val="0"/>
      <w:divBdr>
        <w:top w:val="none" w:sz="0" w:space="0" w:color="auto"/>
        <w:left w:val="none" w:sz="0" w:space="0" w:color="auto"/>
        <w:bottom w:val="none" w:sz="0" w:space="0" w:color="auto"/>
        <w:right w:val="none" w:sz="0" w:space="0" w:color="auto"/>
      </w:divBdr>
    </w:div>
    <w:div w:id="1578049685">
      <w:bodyDiv w:val="1"/>
      <w:marLeft w:val="0"/>
      <w:marRight w:val="0"/>
      <w:marTop w:val="0"/>
      <w:marBottom w:val="0"/>
      <w:divBdr>
        <w:top w:val="none" w:sz="0" w:space="0" w:color="auto"/>
        <w:left w:val="none" w:sz="0" w:space="0" w:color="auto"/>
        <w:bottom w:val="none" w:sz="0" w:space="0" w:color="auto"/>
        <w:right w:val="none" w:sz="0" w:space="0" w:color="auto"/>
      </w:divBdr>
    </w:div>
    <w:div w:id="1601141747">
      <w:bodyDiv w:val="1"/>
      <w:marLeft w:val="0"/>
      <w:marRight w:val="0"/>
      <w:marTop w:val="0"/>
      <w:marBottom w:val="0"/>
      <w:divBdr>
        <w:top w:val="none" w:sz="0" w:space="0" w:color="auto"/>
        <w:left w:val="none" w:sz="0" w:space="0" w:color="auto"/>
        <w:bottom w:val="none" w:sz="0" w:space="0" w:color="auto"/>
        <w:right w:val="none" w:sz="0" w:space="0" w:color="auto"/>
      </w:divBdr>
    </w:div>
    <w:div w:id="1620914785">
      <w:bodyDiv w:val="1"/>
      <w:marLeft w:val="0"/>
      <w:marRight w:val="0"/>
      <w:marTop w:val="0"/>
      <w:marBottom w:val="0"/>
      <w:divBdr>
        <w:top w:val="none" w:sz="0" w:space="0" w:color="auto"/>
        <w:left w:val="none" w:sz="0" w:space="0" w:color="auto"/>
        <w:bottom w:val="none" w:sz="0" w:space="0" w:color="auto"/>
        <w:right w:val="none" w:sz="0" w:space="0" w:color="auto"/>
      </w:divBdr>
    </w:div>
    <w:div w:id="1624339251">
      <w:bodyDiv w:val="1"/>
      <w:marLeft w:val="0"/>
      <w:marRight w:val="0"/>
      <w:marTop w:val="0"/>
      <w:marBottom w:val="0"/>
      <w:divBdr>
        <w:top w:val="none" w:sz="0" w:space="0" w:color="auto"/>
        <w:left w:val="none" w:sz="0" w:space="0" w:color="auto"/>
        <w:bottom w:val="none" w:sz="0" w:space="0" w:color="auto"/>
        <w:right w:val="none" w:sz="0" w:space="0" w:color="auto"/>
      </w:divBdr>
    </w:div>
    <w:div w:id="1713188334">
      <w:bodyDiv w:val="1"/>
      <w:marLeft w:val="0"/>
      <w:marRight w:val="0"/>
      <w:marTop w:val="0"/>
      <w:marBottom w:val="0"/>
      <w:divBdr>
        <w:top w:val="none" w:sz="0" w:space="0" w:color="auto"/>
        <w:left w:val="none" w:sz="0" w:space="0" w:color="auto"/>
        <w:bottom w:val="none" w:sz="0" w:space="0" w:color="auto"/>
        <w:right w:val="none" w:sz="0" w:space="0" w:color="auto"/>
      </w:divBdr>
    </w:div>
    <w:div w:id="1765689061">
      <w:bodyDiv w:val="1"/>
      <w:marLeft w:val="0"/>
      <w:marRight w:val="0"/>
      <w:marTop w:val="0"/>
      <w:marBottom w:val="0"/>
      <w:divBdr>
        <w:top w:val="none" w:sz="0" w:space="0" w:color="auto"/>
        <w:left w:val="none" w:sz="0" w:space="0" w:color="auto"/>
        <w:bottom w:val="none" w:sz="0" w:space="0" w:color="auto"/>
        <w:right w:val="none" w:sz="0" w:space="0" w:color="auto"/>
      </w:divBdr>
    </w:div>
    <w:div w:id="1786343651">
      <w:bodyDiv w:val="1"/>
      <w:marLeft w:val="0"/>
      <w:marRight w:val="0"/>
      <w:marTop w:val="0"/>
      <w:marBottom w:val="0"/>
      <w:divBdr>
        <w:top w:val="none" w:sz="0" w:space="0" w:color="auto"/>
        <w:left w:val="none" w:sz="0" w:space="0" w:color="auto"/>
        <w:bottom w:val="none" w:sz="0" w:space="0" w:color="auto"/>
        <w:right w:val="none" w:sz="0" w:space="0" w:color="auto"/>
      </w:divBdr>
    </w:div>
    <w:div w:id="1795294495">
      <w:bodyDiv w:val="1"/>
      <w:marLeft w:val="0"/>
      <w:marRight w:val="0"/>
      <w:marTop w:val="0"/>
      <w:marBottom w:val="0"/>
      <w:divBdr>
        <w:top w:val="none" w:sz="0" w:space="0" w:color="auto"/>
        <w:left w:val="none" w:sz="0" w:space="0" w:color="auto"/>
        <w:bottom w:val="none" w:sz="0" w:space="0" w:color="auto"/>
        <w:right w:val="none" w:sz="0" w:space="0" w:color="auto"/>
      </w:divBdr>
      <w:divsChild>
        <w:div w:id="25447721">
          <w:marLeft w:val="0"/>
          <w:marRight w:val="0"/>
          <w:marTop w:val="0"/>
          <w:marBottom w:val="0"/>
          <w:divBdr>
            <w:top w:val="none" w:sz="0" w:space="0" w:color="auto"/>
            <w:left w:val="none" w:sz="0" w:space="0" w:color="auto"/>
            <w:bottom w:val="none" w:sz="0" w:space="0" w:color="auto"/>
            <w:right w:val="none" w:sz="0" w:space="0" w:color="auto"/>
          </w:divBdr>
        </w:div>
        <w:div w:id="164443112">
          <w:marLeft w:val="0"/>
          <w:marRight w:val="0"/>
          <w:marTop w:val="0"/>
          <w:marBottom w:val="0"/>
          <w:divBdr>
            <w:top w:val="none" w:sz="0" w:space="0" w:color="auto"/>
            <w:left w:val="none" w:sz="0" w:space="0" w:color="auto"/>
            <w:bottom w:val="none" w:sz="0" w:space="0" w:color="auto"/>
            <w:right w:val="none" w:sz="0" w:space="0" w:color="auto"/>
          </w:divBdr>
        </w:div>
        <w:div w:id="531185027">
          <w:marLeft w:val="0"/>
          <w:marRight w:val="0"/>
          <w:marTop w:val="0"/>
          <w:marBottom w:val="0"/>
          <w:divBdr>
            <w:top w:val="none" w:sz="0" w:space="0" w:color="auto"/>
            <w:left w:val="none" w:sz="0" w:space="0" w:color="auto"/>
            <w:bottom w:val="none" w:sz="0" w:space="0" w:color="auto"/>
            <w:right w:val="none" w:sz="0" w:space="0" w:color="auto"/>
          </w:divBdr>
        </w:div>
        <w:div w:id="1095981916">
          <w:marLeft w:val="0"/>
          <w:marRight w:val="0"/>
          <w:marTop w:val="0"/>
          <w:marBottom w:val="0"/>
          <w:divBdr>
            <w:top w:val="none" w:sz="0" w:space="0" w:color="auto"/>
            <w:left w:val="none" w:sz="0" w:space="0" w:color="auto"/>
            <w:bottom w:val="none" w:sz="0" w:space="0" w:color="auto"/>
            <w:right w:val="none" w:sz="0" w:space="0" w:color="auto"/>
          </w:divBdr>
        </w:div>
        <w:div w:id="1198927843">
          <w:marLeft w:val="0"/>
          <w:marRight w:val="0"/>
          <w:marTop w:val="0"/>
          <w:marBottom w:val="0"/>
          <w:divBdr>
            <w:top w:val="none" w:sz="0" w:space="0" w:color="auto"/>
            <w:left w:val="none" w:sz="0" w:space="0" w:color="auto"/>
            <w:bottom w:val="none" w:sz="0" w:space="0" w:color="auto"/>
            <w:right w:val="none" w:sz="0" w:space="0" w:color="auto"/>
          </w:divBdr>
        </w:div>
        <w:div w:id="1455515452">
          <w:marLeft w:val="0"/>
          <w:marRight w:val="0"/>
          <w:marTop w:val="0"/>
          <w:marBottom w:val="0"/>
          <w:divBdr>
            <w:top w:val="none" w:sz="0" w:space="0" w:color="auto"/>
            <w:left w:val="none" w:sz="0" w:space="0" w:color="auto"/>
            <w:bottom w:val="none" w:sz="0" w:space="0" w:color="auto"/>
            <w:right w:val="none" w:sz="0" w:space="0" w:color="auto"/>
          </w:divBdr>
        </w:div>
        <w:div w:id="1471752558">
          <w:marLeft w:val="0"/>
          <w:marRight w:val="0"/>
          <w:marTop w:val="0"/>
          <w:marBottom w:val="0"/>
          <w:divBdr>
            <w:top w:val="none" w:sz="0" w:space="0" w:color="auto"/>
            <w:left w:val="none" w:sz="0" w:space="0" w:color="auto"/>
            <w:bottom w:val="none" w:sz="0" w:space="0" w:color="auto"/>
            <w:right w:val="none" w:sz="0" w:space="0" w:color="auto"/>
          </w:divBdr>
        </w:div>
        <w:div w:id="1774088686">
          <w:marLeft w:val="0"/>
          <w:marRight w:val="0"/>
          <w:marTop w:val="0"/>
          <w:marBottom w:val="0"/>
          <w:divBdr>
            <w:top w:val="none" w:sz="0" w:space="0" w:color="auto"/>
            <w:left w:val="none" w:sz="0" w:space="0" w:color="auto"/>
            <w:bottom w:val="none" w:sz="0" w:space="0" w:color="auto"/>
            <w:right w:val="none" w:sz="0" w:space="0" w:color="auto"/>
          </w:divBdr>
        </w:div>
        <w:div w:id="1918703483">
          <w:marLeft w:val="0"/>
          <w:marRight w:val="0"/>
          <w:marTop w:val="0"/>
          <w:marBottom w:val="0"/>
          <w:divBdr>
            <w:top w:val="none" w:sz="0" w:space="0" w:color="auto"/>
            <w:left w:val="none" w:sz="0" w:space="0" w:color="auto"/>
            <w:bottom w:val="none" w:sz="0" w:space="0" w:color="auto"/>
            <w:right w:val="none" w:sz="0" w:space="0" w:color="auto"/>
          </w:divBdr>
        </w:div>
      </w:divsChild>
    </w:div>
    <w:div w:id="1806385231">
      <w:bodyDiv w:val="1"/>
      <w:marLeft w:val="0"/>
      <w:marRight w:val="0"/>
      <w:marTop w:val="0"/>
      <w:marBottom w:val="0"/>
      <w:divBdr>
        <w:top w:val="none" w:sz="0" w:space="0" w:color="auto"/>
        <w:left w:val="none" w:sz="0" w:space="0" w:color="auto"/>
        <w:bottom w:val="none" w:sz="0" w:space="0" w:color="auto"/>
        <w:right w:val="none" w:sz="0" w:space="0" w:color="auto"/>
      </w:divBdr>
    </w:div>
    <w:div w:id="1819877530">
      <w:bodyDiv w:val="1"/>
      <w:marLeft w:val="0"/>
      <w:marRight w:val="0"/>
      <w:marTop w:val="0"/>
      <w:marBottom w:val="0"/>
      <w:divBdr>
        <w:top w:val="none" w:sz="0" w:space="0" w:color="auto"/>
        <w:left w:val="none" w:sz="0" w:space="0" w:color="auto"/>
        <w:bottom w:val="none" w:sz="0" w:space="0" w:color="auto"/>
        <w:right w:val="none" w:sz="0" w:space="0" w:color="auto"/>
      </w:divBdr>
    </w:div>
    <w:div w:id="1841773546">
      <w:bodyDiv w:val="1"/>
      <w:marLeft w:val="0"/>
      <w:marRight w:val="0"/>
      <w:marTop w:val="0"/>
      <w:marBottom w:val="0"/>
      <w:divBdr>
        <w:top w:val="none" w:sz="0" w:space="0" w:color="auto"/>
        <w:left w:val="none" w:sz="0" w:space="0" w:color="auto"/>
        <w:bottom w:val="none" w:sz="0" w:space="0" w:color="auto"/>
        <w:right w:val="none" w:sz="0" w:space="0" w:color="auto"/>
      </w:divBdr>
    </w:div>
    <w:div w:id="1847863368">
      <w:bodyDiv w:val="1"/>
      <w:marLeft w:val="0"/>
      <w:marRight w:val="0"/>
      <w:marTop w:val="0"/>
      <w:marBottom w:val="0"/>
      <w:divBdr>
        <w:top w:val="none" w:sz="0" w:space="0" w:color="auto"/>
        <w:left w:val="none" w:sz="0" w:space="0" w:color="auto"/>
        <w:bottom w:val="none" w:sz="0" w:space="0" w:color="auto"/>
        <w:right w:val="none" w:sz="0" w:space="0" w:color="auto"/>
      </w:divBdr>
    </w:div>
    <w:div w:id="1873029824">
      <w:bodyDiv w:val="1"/>
      <w:marLeft w:val="0"/>
      <w:marRight w:val="0"/>
      <w:marTop w:val="0"/>
      <w:marBottom w:val="0"/>
      <w:divBdr>
        <w:top w:val="none" w:sz="0" w:space="0" w:color="auto"/>
        <w:left w:val="none" w:sz="0" w:space="0" w:color="auto"/>
        <w:bottom w:val="none" w:sz="0" w:space="0" w:color="auto"/>
        <w:right w:val="none" w:sz="0" w:space="0" w:color="auto"/>
      </w:divBdr>
    </w:div>
    <w:div w:id="1883832673">
      <w:bodyDiv w:val="1"/>
      <w:marLeft w:val="0"/>
      <w:marRight w:val="0"/>
      <w:marTop w:val="0"/>
      <w:marBottom w:val="0"/>
      <w:divBdr>
        <w:top w:val="none" w:sz="0" w:space="0" w:color="auto"/>
        <w:left w:val="none" w:sz="0" w:space="0" w:color="auto"/>
        <w:bottom w:val="none" w:sz="0" w:space="0" w:color="auto"/>
        <w:right w:val="none" w:sz="0" w:space="0" w:color="auto"/>
      </w:divBdr>
    </w:div>
    <w:div w:id="1926986944">
      <w:bodyDiv w:val="1"/>
      <w:marLeft w:val="0"/>
      <w:marRight w:val="0"/>
      <w:marTop w:val="0"/>
      <w:marBottom w:val="0"/>
      <w:divBdr>
        <w:top w:val="none" w:sz="0" w:space="0" w:color="auto"/>
        <w:left w:val="none" w:sz="0" w:space="0" w:color="auto"/>
        <w:bottom w:val="none" w:sz="0" w:space="0" w:color="auto"/>
        <w:right w:val="none" w:sz="0" w:space="0" w:color="auto"/>
      </w:divBdr>
    </w:div>
    <w:div w:id="1932614766">
      <w:bodyDiv w:val="1"/>
      <w:marLeft w:val="0"/>
      <w:marRight w:val="0"/>
      <w:marTop w:val="0"/>
      <w:marBottom w:val="0"/>
      <w:divBdr>
        <w:top w:val="none" w:sz="0" w:space="0" w:color="auto"/>
        <w:left w:val="none" w:sz="0" w:space="0" w:color="auto"/>
        <w:bottom w:val="none" w:sz="0" w:space="0" w:color="auto"/>
        <w:right w:val="none" w:sz="0" w:space="0" w:color="auto"/>
      </w:divBdr>
    </w:div>
    <w:div w:id="1976834442">
      <w:bodyDiv w:val="1"/>
      <w:marLeft w:val="0"/>
      <w:marRight w:val="0"/>
      <w:marTop w:val="0"/>
      <w:marBottom w:val="0"/>
      <w:divBdr>
        <w:top w:val="none" w:sz="0" w:space="0" w:color="auto"/>
        <w:left w:val="none" w:sz="0" w:space="0" w:color="auto"/>
        <w:bottom w:val="none" w:sz="0" w:space="0" w:color="auto"/>
        <w:right w:val="none" w:sz="0" w:space="0" w:color="auto"/>
      </w:divBdr>
    </w:div>
    <w:div w:id="2016758071">
      <w:bodyDiv w:val="1"/>
      <w:marLeft w:val="0"/>
      <w:marRight w:val="0"/>
      <w:marTop w:val="0"/>
      <w:marBottom w:val="0"/>
      <w:divBdr>
        <w:top w:val="none" w:sz="0" w:space="0" w:color="auto"/>
        <w:left w:val="none" w:sz="0" w:space="0" w:color="auto"/>
        <w:bottom w:val="none" w:sz="0" w:space="0" w:color="auto"/>
        <w:right w:val="none" w:sz="0" w:space="0" w:color="auto"/>
      </w:divBdr>
    </w:div>
    <w:div w:id="2027823933">
      <w:bodyDiv w:val="1"/>
      <w:marLeft w:val="0"/>
      <w:marRight w:val="0"/>
      <w:marTop w:val="0"/>
      <w:marBottom w:val="0"/>
      <w:divBdr>
        <w:top w:val="none" w:sz="0" w:space="0" w:color="auto"/>
        <w:left w:val="none" w:sz="0" w:space="0" w:color="auto"/>
        <w:bottom w:val="none" w:sz="0" w:space="0" w:color="auto"/>
        <w:right w:val="none" w:sz="0" w:space="0" w:color="auto"/>
      </w:divBdr>
    </w:div>
    <w:div w:id="2039549208">
      <w:bodyDiv w:val="1"/>
      <w:marLeft w:val="0"/>
      <w:marRight w:val="0"/>
      <w:marTop w:val="0"/>
      <w:marBottom w:val="0"/>
      <w:divBdr>
        <w:top w:val="none" w:sz="0" w:space="0" w:color="auto"/>
        <w:left w:val="none" w:sz="0" w:space="0" w:color="auto"/>
        <w:bottom w:val="none" w:sz="0" w:space="0" w:color="auto"/>
        <w:right w:val="none" w:sz="0" w:space="0" w:color="auto"/>
      </w:divBdr>
    </w:div>
    <w:div w:id="2045783424">
      <w:bodyDiv w:val="1"/>
      <w:marLeft w:val="0"/>
      <w:marRight w:val="0"/>
      <w:marTop w:val="0"/>
      <w:marBottom w:val="0"/>
      <w:divBdr>
        <w:top w:val="none" w:sz="0" w:space="0" w:color="auto"/>
        <w:left w:val="none" w:sz="0" w:space="0" w:color="auto"/>
        <w:bottom w:val="none" w:sz="0" w:space="0" w:color="auto"/>
        <w:right w:val="none" w:sz="0" w:space="0" w:color="auto"/>
      </w:divBdr>
    </w:div>
    <w:div w:id="2048868432">
      <w:bodyDiv w:val="1"/>
      <w:marLeft w:val="0"/>
      <w:marRight w:val="0"/>
      <w:marTop w:val="0"/>
      <w:marBottom w:val="0"/>
      <w:divBdr>
        <w:top w:val="none" w:sz="0" w:space="0" w:color="auto"/>
        <w:left w:val="none" w:sz="0" w:space="0" w:color="auto"/>
        <w:bottom w:val="none" w:sz="0" w:space="0" w:color="auto"/>
        <w:right w:val="none" w:sz="0" w:space="0" w:color="auto"/>
      </w:divBdr>
    </w:div>
    <w:div w:id="2085952124">
      <w:bodyDiv w:val="1"/>
      <w:marLeft w:val="0"/>
      <w:marRight w:val="0"/>
      <w:marTop w:val="0"/>
      <w:marBottom w:val="0"/>
      <w:divBdr>
        <w:top w:val="none" w:sz="0" w:space="0" w:color="auto"/>
        <w:left w:val="none" w:sz="0" w:space="0" w:color="auto"/>
        <w:bottom w:val="none" w:sz="0" w:space="0" w:color="auto"/>
        <w:right w:val="none" w:sz="0" w:space="0" w:color="auto"/>
      </w:divBdr>
    </w:div>
    <w:div w:id="2124153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marketac.eu/integration-of-sustainability-criteria-under-the-regime-of-autonomous-tariff-quotas-for-certain-fishery-products/" TargetMode="External"/><Relationship Id="rId13" Type="http://schemas.openxmlformats.org/officeDocument/2006/relationships/hyperlink" Target="https://marketac.eu/stecfs-economic-report-on-the-eu-aquaculture-sector-2025/" TargetMode="External"/><Relationship Id="rId3" Type="http://schemas.openxmlformats.org/officeDocument/2006/relationships/hyperlink" Target="https://eur-lex.europa.eu/legal-content/EN/ALL/?uri=comnat:COM_2025_0281_FIN" TargetMode="External"/><Relationship Id="rId7" Type="http://schemas.openxmlformats.org/officeDocument/2006/relationships/hyperlink" Target="https://marketac.eu/competitiveness-of-the-eu-market-of-fishery-and-aquaculture-products-upcoming-studies-on-the-fisheries-control-regulation/" TargetMode="External"/><Relationship Id="rId12" Type="http://schemas.openxmlformats.org/officeDocument/2006/relationships/hyperlink" Target="https://marketac.eu/stecfs-annual-economic-report-on-the-eu-fishing-fleet-2026/" TargetMode="External"/><Relationship Id="rId2" Type="http://schemas.openxmlformats.org/officeDocument/2006/relationships/hyperlink" Target="https://marketac.eu/evaluation-of-the-common-fisheries-policy-2014-2024/" TargetMode="External"/><Relationship Id="rId16" Type="http://schemas.openxmlformats.org/officeDocument/2006/relationships/hyperlink" Target="https://marketac.eu/upcoming-delegated-act-on-additional-rules-for-traceability-of-faps-and-marking-of-lots/" TargetMode="External"/><Relationship Id="rId1" Type="http://schemas.openxmlformats.org/officeDocument/2006/relationships/hyperlink" Target="https://marketac.eu/performance-review-2019-2022/" TargetMode="External"/><Relationship Id="rId6" Type="http://schemas.openxmlformats.org/officeDocument/2006/relationships/hyperlink" Target="https://marketac.eu/competitiveness-of-the-eu-market-of-fishery-and-aquaculture-products-simplification-and-reduction-of-administrative-burden/" TargetMode="External"/><Relationship Id="rId11" Type="http://schemas.openxmlformats.org/officeDocument/2006/relationships/hyperlink" Target="https://marketac.eu/suggestions-for-eumofa-work-programme-2025/" TargetMode="External"/><Relationship Id="rId5" Type="http://schemas.openxmlformats.org/officeDocument/2006/relationships/hyperlink" Target="https://eur-lex.europa.eu/legal-content/EN/TXT/?uri=celex:52025DC0047" TargetMode="External"/><Relationship Id="rId15" Type="http://schemas.openxmlformats.org/officeDocument/2006/relationships/hyperlink" Target="https://marketac.eu/terms-of-reference-of-the-study-on-feasible-traceability-systems-and-procedures-for-prepared-and-preserved-fishery-and-aquaculture-products/" TargetMode="External"/><Relationship Id="rId10" Type="http://schemas.openxmlformats.org/officeDocument/2006/relationships/hyperlink" Target="https://marketac.eu/forced-labour/" TargetMode="External"/><Relationship Id="rId4" Type="http://schemas.openxmlformats.org/officeDocument/2006/relationships/hyperlink" Target="https://commission.europa.eu/topics/eu-competitiveness/competitiveness-compass_en" TargetMode="External"/><Relationship Id="rId9" Type="http://schemas.openxmlformats.org/officeDocument/2006/relationships/hyperlink" Target="https://marketac.eu/illegal-unreported-and-unregulated-fishing-in-the-outermost-regions-of-the-european-union/" TargetMode="External"/><Relationship Id="rId14" Type="http://schemas.openxmlformats.org/officeDocument/2006/relationships/hyperlink" Target="https://marketac.eu/stecfs-economic-report-on-the-fish-processing-industry-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2C9ACDEA16A541BD4EADE0B7724EC1" ma:contentTypeVersion="19" ma:contentTypeDescription="Create a new document." ma:contentTypeScope="" ma:versionID="3d839809c780cb8504bf7a6a000a6c6c">
  <xsd:schema xmlns:xsd="http://www.w3.org/2001/XMLSchema" xmlns:xs="http://www.w3.org/2001/XMLSchema" xmlns:p="http://schemas.microsoft.com/office/2006/metadata/properties" xmlns:ns2="0a696529-0f72-48e4-b036-bce29b55c904" xmlns:ns3="f894a7f0-1331-4600-a3be-94d01ccb6ac0" targetNamespace="http://schemas.microsoft.com/office/2006/metadata/properties" ma:root="true" ma:fieldsID="b61e5dd305b800783d6808b8c33662aa" ns2:_="" ns3:_="">
    <xsd:import namespace="0a696529-0f72-48e4-b036-bce29b55c904"/>
    <xsd:import namespace="f894a7f0-1331-4600-a3be-94d01ccb6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96529-0f72-48e4-b036-bce29b55c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b8c353-3ab4-4110-803d-4eda959e4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4a7f0-1331-4600-a3be-94d01ccb6ac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51bd241-1dcc-48c4-b671-c7e73fbddb47}" ma:internalName="TaxCatchAll" ma:showField="CatchAllData" ma:web="f894a7f0-1331-4600-a3be-94d01ccb6ac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696529-0f72-48e4-b036-bce29b55c904">
      <Terms xmlns="http://schemas.microsoft.com/office/infopath/2007/PartnerControls"/>
    </lcf76f155ced4ddcb4097134ff3c332f>
    <TaxCatchAll xmlns="f894a7f0-1331-4600-a3be-94d01ccb6a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6B17-06F6-4CCC-A030-EC21FCC20146}">
  <ds:schemaRefs>
    <ds:schemaRef ds:uri="http://schemas.microsoft.com/sharepoint/v3/contenttype/forms"/>
  </ds:schemaRefs>
</ds:datastoreItem>
</file>

<file path=customXml/itemProps2.xml><?xml version="1.0" encoding="utf-8"?>
<ds:datastoreItem xmlns:ds="http://schemas.openxmlformats.org/officeDocument/2006/customXml" ds:itemID="{6FC15C1C-87E2-40CC-B361-78801E6F5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96529-0f72-48e4-b036-bce29b55c904"/>
    <ds:schemaRef ds:uri="f894a7f0-1331-4600-a3be-94d01ccb6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11B4C-AC7D-4951-9DAF-0A67851CFE8B}">
  <ds:schemaRefs>
    <ds:schemaRef ds:uri="http://schemas.microsoft.com/office/2006/metadata/properties"/>
    <ds:schemaRef ds:uri="http://schemas.microsoft.com/office/infopath/2007/PartnerControls"/>
    <ds:schemaRef ds:uri="0a696529-0f72-48e4-b036-bce29b55c904"/>
    <ds:schemaRef ds:uri="f894a7f0-1331-4600-a3be-94d01ccb6ac0"/>
  </ds:schemaRefs>
</ds:datastoreItem>
</file>

<file path=customXml/itemProps4.xml><?xml version="1.0" encoding="utf-8"?>
<ds:datastoreItem xmlns:ds="http://schemas.openxmlformats.org/officeDocument/2006/customXml" ds:itemID="{1FB5DF15-6EA6-4747-8552-C261E9C2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2658</Words>
  <Characters>15156</Characters>
  <Application>Microsoft Office Word</Application>
  <DocSecurity>0</DocSecurity>
  <Lines>126</Lines>
  <Paragraphs>35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ANNEX I</vt:lpstr>
      <vt:lpstr>ANNEX I</vt:lpstr>
      <vt:lpstr>ANNEX I</vt:lpstr>
    </vt:vector>
  </TitlesOfParts>
  <Company>European Commission</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COLSON Pascale</dc:creator>
  <cp:keywords/>
  <dc:description/>
  <cp:lastModifiedBy>Pedro Reis Santos (MAC)</cp:lastModifiedBy>
  <cp:revision>6</cp:revision>
  <cp:lastPrinted>2019-04-04T11:01:00Z</cp:lastPrinted>
  <dcterms:created xsi:type="dcterms:W3CDTF">2026-06-22T15:26:00Z</dcterms:created>
  <dcterms:modified xsi:type="dcterms:W3CDTF">2026-06-23T12:23:00Z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0x010100A32C9ACDEA16A541BD4EADE0B7724EC1</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2023-06-27T12:52:33Z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0c779f59-892f-4bda-8735-9bdc455cbbae</vt:lpwstr>
  </property>
  <property fmtid="{D5CDD505-2E9C-101B-9397-08002B2CF9AE}" pid="10" name="MSIP_Label_6bd9ddd1-4d20-43f6-abfa-fc3c07406f94_ContentBits">
    <vt:lpwstr>0</vt:lpwstr>
  </property>
</Properties>
</file>